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Pr="00EA41FF" w:rsidRDefault="0030646E" w:rsidP="009E7F96">
      <w:pPr>
        <w:pStyle w:val="Ttulo"/>
        <w:spacing w:before="360" w:after="240"/>
        <w:rPr>
          <w:sz w:val="24"/>
        </w:rPr>
      </w:pPr>
      <w:bookmarkStart w:id="0" w:name="_GoBack"/>
      <w:bookmarkEnd w:id="0"/>
      <w:r w:rsidRPr="00EA41FF">
        <w:rPr>
          <w:noProof/>
          <w:sz w:val="24"/>
          <w:lang w:val="es-PA" w:eastAsia="es-PA"/>
        </w:rPr>
        <w:drawing>
          <wp:anchor distT="0" distB="0" distL="114300" distR="114300" simplePos="0" relativeHeight="251658240" behindDoc="0" locked="0" layoutInCell="1" allowOverlap="1" wp14:anchorId="2C62D123" wp14:editId="65FDE987">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C63049" w:rsidRPr="00EA41FF">
        <w:rPr>
          <w:sz w:val="24"/>
        </w:rPr>
        <w:t xml:space="preserve">de </w:t>
      </w:r>
      <w:r w:rsidR="0025668D" w:rsidRPr="00EA41FF">
        <w:rPr>
          <w:sz w:val="24"/>
        </w:rPr>
        <w:t>la Comisión Fed</w:t>
      </w:r>
      <w:r w:rsidR="0096627F" w:rsidRPr="00EA41FF">
        <w:rPr>
          <w:sz w:val="24"/>
        </w:rPr>
        <w:t>eral de Competencia Económica (C</w:t>
      </w:r>
      <w:r w:rsidR="003747F3" w:rsidRPr="00EA41FF">
        <w:rPr>
          <w:sz w:val="24"/>
        </w:rPr>
        <w:t>ofece</w:t>
      </w:r>
      <w:r w:rsidR="0025668D" w:rsidRPr="00EA41FF">
        <w:rPr>
          <w:sz w:val="24"/>
        </w:rPr>
        <w:t>)</w:t>
      </w:r>
      <w:r w:rsidRPr="00EA41FF">
        <w:rPr>
          <w:sz w:val="24"/>
        </w:rPr>
        <w:t>,</w:t>
      </w:r>
      <w:r w:rsidR="0025668D" w:rsidRPr="00EA41FF">
        <w:rPr>
          <w:sz w:val="24"/>
        </w:rPr>
        <w:t xml:space="preserve"> </w:t>
      </w:r>
      <w:r w:rsidRPr="00EA41FF">
        <w:rPr>
          <w:sz w:val="24"/>
        </w:rPr>
        <w:t xml:space="preserve">con la finalidad de </w:t>
      </w:r>
      <w:r w:rsidR="009557B7" w:rsidRPr="00EA41FF">
        <w:rPr>
          <w:sz w:val="24"/>
        </w:rPr>
        <w:t xml:space="preserve">participar en </w:t>
      </w:r>
      <w:r w:rsidR="00A94CA6" w:rsidRPr="00EA41FF">
        <w:rPr>
          <w:sz w:val="24"/>
          <w:lang w:eastAsia="zh-CN"/>
        </w:rPr>
        <w:t xml:space="preserve">el </w:t>
      </w:r>
      <w:r w:rsidR="00A94CA6" w:rsidRPr="00EA41FF">
        <w:rPr>
          <w:sz w:val="24"/>
        </w:rPr>
        <w:t xml:space="preserve">concurso público </w:t>
      </w:r>
      <w:r w:rsidR="002B359D" w:rsidRPr="002B359D">
        <w:rPr>
          <w:sz w:val="24"/>
        </w:rPr>
        <w:t>API/GUAYMAS/SILOS/01/17</w:t>
      </w:r>
      <w:r w:rsidR="00A94CA6" w:rsidRPr="00EA41FF">
        <w:rPr>
          <w:sz w:val="24"/>
        </w:rPr>
        <w:t xml:space="preserve">, cuyo objeto es la adjudicación de un contrato de cesión parcial de derechos y obligaciones, para </w:t>
      </w:r>
      <w:r w:rsidR="00433291">
        <w:rPr>
          <w:sz w:val="24"/>
        </w:rPr>
        <w:t>el</w:t>
      </w:r>
      <w:r w:rsidR="000355DE" w:rsidRPr="004B5855">
        <w:rPr>
          <w:sz w:val="24"/>
        </w:rPr>
        <w:t xml:space="preserve"> uso, aprove</w:t>
      </w:r>
      <w:r w:rsidR="000355DE">
        <w:rPr>
          <w:sz w:val="24"/>
        </w:rPr>
        <w:t>chamiento</w:t>
      </w:r>
      <w:r w:rsidR="00423CE3">
        <w:rPr>
          <w:sz w:val="24"/>
        </w:rPr>
        <w:t>,</w:t>
      </w:r>
      <w:r w:rsidR="00433291">
        <w:rPr>
          <w:sz w:val="24"/>
        </w:rPr>
        <w:t xml:space="preserve"> </w:t>
      </w:r>
      <w:r w:rsidR="000355DE">
        <w:rPr>
          <w:sz w:val="24"/>
        </w:rPr>
        <w:t>explotación</w:t>
      </w:r>
      <w:r w:rsidR="00433291">
        <w:rPr>
          <w:sz w:val="24"/>
        </w:rPr>
        <w:t>, operación, equipamiento y modernización de</w:t>
      </w:r>
      <w:r w:rsidR="000355DE">
        <w:rPr>
          <w:sz w:val="24"/>
        </w:rPr>
        <w:t xml:space="preserve"> una </w:t>
      </w:r>
      <w:r w:rsidR="00433291">
        <w:rPr>
          <w:sz w:val="24"/>
        </w:rPr>
        <w:t xml:space="preserve">instalación portuaria especializada de </w:t>
      </w:r>
      <w:r w:rsidR="000355DE">
        <w:rPr>
          <w:sz w:val="24"/>
        </w:rPr>
        <w:t xml:space="preserve">uso público </w:t>
      </w:r>
      <w:r w:rsidR="00433291">
        <w:rPr>
          <w:sz w:val="24"/>
        </w:rPr>
        <w:t xml:space="preserve">en el manejo de gráneles agrícolas, </w:t>
      </w:r>
      <w:r w:rsidR="0060128C">
        <w:rPr>
          <w:sz w:val="24"/>
        </w:rPr>
        <w:t>y</w:t>
      </w:r>
      <w:r w:rsidR="00433291">
        <w:rPr>
          <w:sz w:val="24"/>
        </w:rPr>
        <w:t xml:space="preserve"> presta</w:t>
      </w:r>
      <w:r w:rsidR="0060128C">
        <w:rPr>
          <w:sz w:val="24"/>
        </w:rPr>
        <w:t>r</w:t>
      </w:r>
      <w:r w:rsidR="00433291">
        <w:rPr>
          <w:sz w:val="24"/>
        </w:rPr>
        <w:t xml:space="preserve"> servicios de maniobras en el </w:t>
      </w:r>
      <w:r w:rsidR="000355DE">
        <w:rPr>
          <w:sz w:val="24"/>
        </w:rPr>
        <w:t>P</w:t>
      </w:r>
      <w:r w:rsidR="00A020CF" w:rsidRPr="00A020CF">
        <w:rPr>
          <w:sz w:val="24"/>
        </w:rPr>
        <w:t xml:space="preserve">uerto de </w:t>
      </w:r>
      <w:r w:rsidR="00433291">
        <w:rPr>
          <w:sz w:val="24"/>
        </w:rPr>
        <w:t>Guaymas</w:t>
      </w:r>
      <w:r w:rsidR="00B64362">
        <w:rPr>
          <w:sz w:val="24"/>
        </w:rPr>
        <w:t>, S</w:t>
      </w:r>
      <w:r w:rsidR="00433291">
        <w:rPr>
          <w:sz w:val="24"/>
        </w:rPr>
        <w:t>onora</w:t>
      </w:r>
      <w:r w:rsidR="003B63BA">
        <w:rPr>
          <w:sz w:val="24"/>
        </w:rPr>
        <w:t xml:space="preserve"> (Concurso)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rsidR="003B63BA" w:rsidRPr="00EA41FF" w:rsidRDefault="003B63BA" w:rsidP="003B63BA">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456BF8"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Pr>
          <w:color w:val="000000"/>
          <w:lang w:val="es-MX"/>
        </w:rPr>
        <w:t xml:space="preserve"> (</w:t>
      </w:r>
      <w:r w:rsidRPr="00276CBE">
        <w:rPr>
          <w:smallCaps/>
          <w:color w:val="000000"/>
          <w:lang w:val="es-MX"/>
        </w:rPr>
        <w:t>Cuestionario</w:t>
      </w:r>
      <w:r>
        <w:rPr>
          <w:color w:val="000000"/>
          <w:lang w:val="es-MX"/>
        </w:rPr>
        <w:t>)</w:t>
      </w:r>
      <w:r w:rsidRPr="00EA41FF">
        <w:rPr>
          <w:color w:val="000000"/>
          <w:lang w:val="es-MX"/>
        </w:rPr>
        <w:t>, grabada en disco compacto en archivos compatibles con Microsoft Office 2000</w:t>
      </w:r>
      <w:r>
        <w:rPr>
          <w:bCs/>
          <w:color w:val="000000"/>
          <w:vertAlign w:val="superscript"/>
          <w:lang w:val="es-MX"/>
        </w:rPr>
        <w:t>MR</w:t>
      </w:r>
      <w:r w:rsidRPr="00EA41FF">
        <w:rPr>
          <w:bCs/>
          <w:color w:val="000000"/>
          <w:lang w:val="es-MX"/>
        </w:rPr>
        <w:t xml:space="preserve"> para PC.</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en días hábiles, de lunes a viernes, dentro del horario de 8:00 a 14:00 y de 15:00 a 16:30 horas, en el domicilio ubicado en Av. Santa Fe 505, piso 14, Colonia Cruz Manca, Delegación Cuajimalpa, C.P. 05349, México, D.F.</w:t>
      </w:r>
    </w:p>
    <w:p w:rsidR="003B63BA" w:rsidRPr="00EA41FF" w:rsidRDefault="003B63BA" w:rsidP="003B63BA">
      <w:pPr>
        <w:spacing w:before="240" w:after="120"/>
        <w:jc w:val="both"/>
        <w:rPr>
          <w:b/>
          <w:bCs/>
          <w:smallCaps/>
          <w:color w:val="000000"/>
          <w:lang w:val="es-MX"/>
        </w:rPr>
      </w:pPr>
      <w:r w:rsidRPr="00EA41FF">
        <w:rPr>
          <w:b/>
          <w:bCs/>
          <w:smallCaps/>
          <w:color w:val="000000"/>
          <w:lang w:val="es-MX"/>
        </w:rPr>
        <w:lastRenderedPageBreak/>
        <w:t>B. Representación legal ante la Cofece (Art. 111 LFCE)</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 xml:space="preserve">y domicilio de los </w:t>
      </w:r>
      <w:r>
        <w:rPr>
          <w:rFonts w:ascii="Times New Roman" w:hAnsi="Times New Roman" w:cs="Times New Roman"/>
          <w:smallCaps/>
          <w:color w:val="000000"/>
          <w:lang w:val="es-MX"/>
        </w:rPr>
        <w:t xml:space="preserve">Participantes en Grupo </w:t>
      </w:r>
      <w:r w:rsidRPr="00EA41FF">
        <w:rPr>
          <w:rFonts w:ascii="Times New Roman" w:hAnsi="Times New Roman" w:cs="Times New Roman"/>
          <w:color w:val="000000"/>
          <w:lang w:val="es-MX"/>
        </w:rPr>
        <w:t>conforme al párrafo anterior, deberán ser comunes para todas las personas que lo integren.</w:t>
      </w:r>
    </w:p>
    <w:p w:rsidR="003B63BA" w:rsidRPr="00EA41FF" w:rsidRDefault="00D7796F" w:rsidP="003B63BA">
      <w:pPr>
        <w:spacing w:before="240" w:after="120"/>
        <w:jc w:val="both"/>
        <w:rPr>
          <w:b/>
          <w:bCs/>
          <w:smallCaps/>
          <w:color w:val="000000"/>
          <w:lang w:val="es-MX"/>
        </w:rPr>
      </w:pPr>
      <w:r>
        <w:rPr>
          <w:b/>
          <w:bCs/>
          <w:smallCaps/>
          <w:color w:val="000000"/>
          <w:lang w:val="es-MX"/>
        </w:rPr>
        <w:t xml:space="preserve">C. </w:t>
      </w:r>
      <w:r w:rsidR="003B63BA" w:rsidRPr="00EA41FF">
        <w:rPr>
          <w:b/>
          <w:bCs/>
          <w:smallCaps/>
          <w:color w:val="000000"/>
          <w:lang w:val="es-MX"/>
        </w:rPr>
        <w:t xml:space="preserve">Reserva y Confidencialidad de Documentación e Información (arts. 124 </w:t>
      </w:r>
      <w:r w:rsidR="003B63BA" w:rsidRPr="00D7796F">
        <w:rPr>
          <w:b/>
          <w:bCs/>
          <w:color w:val="000000"/>
          <w:lang w:val="es-MX"/>
        </w:rPr>
        <w:t xml:space="preserve">y </w:t>
      </w:r>
      <w:r w:rsidR="003B63BA" w:rsidRPr="00EA41FF">
        <w:rPr>
          <w:b/>
          <w:bCs/>
          <w:smallCaps/>
          <w:color w:val="000000"/>
          <w:lang w:val="es-MX"/>
        </w:rPr>
        <w:t>125 LFCE)</w:t>
      </w:r>
    </w:p>
    <w:p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w:t>
      </w:r>
      <w:r w:rsidR="003B46B0" w:rsidRPr="00EA41FF">
        <w:rPr>
          <w:rFonts w:ascii="Times New Roman" w:hAnsi="Times New Roman" w:cs="Times New Roman"/>
          <w:color w:val="000000"/>
          <w:lang w:val="es-MX"/>
        </w:rPr>
        <w:t>obstante,</w:t>
      </w:r>
      <w:r w:rsidRPr="00EA41FF">
        <w:rPr>
          <w:rFonts w:ascii="Times New Roman" w:hAnsi="Times New Roman" w:cs="Times New Roman"/>
          <w:color w:val="000000"/>
          <w:lang w:val="es-MX"/>
        </w:rPr>
        <w:t xml:space="preserv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w:t>
      </w:r>
      <w:r w:rsidR="00456BF8" w:rsidRPr="00EA41FF">
        <w:rPr>
          <w:rFonts w:ascii="Times New Roman" w:hAnsi="Times New Roman" w:cs="Times New Roman"/>
          <w:color w:val="000000"/>
          <w:lang w:val="es-MX"/>
        </w:rPr>
        <w:t>que,</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w:t>
      </w:r>
      <w:r w:rsidRPr="00EA41FF">
        <w:rPr>
          <w:rFonts w:ascii="Times New Roman" w:hAnsi="Times New Roman" w:cs="Times New Roman"/>
          <w:color w:val="000000"/>
          <w:lang w:val="es-MX"/>
        </w:rPr>
        <w:lastRenderedPageBreak/>
        <w:t>desprendan del objeto social establecido en una escritura pública, misma que se halla en un registro público, no deben tenerse como confidenciales.</w:t>
      </w:r>
    </w:p>
    <w:p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3B63BA" w:rsidRPr="00EA41FF" w:rsidRDefault="003B63BA" w:rsidP="00D7796F">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a satisfacción de la C</w:t>
      </w:r>
      <w:r w:rsidRPr="00EA41FF">
        <w:rPr>
          <w:smallCaps/>
          <w:color w:val="000000"/>
          <w:lang w:val="es-MX"/>
        </w:rPr>
        <w:t>ofece</w:t>
      </w:r>
      <w:r w:rsidRPr="00EA41FF">
        <w:rPr>
          <w:color w:val="000000"/>
          <w:lang w:val="es-MX"/>
        </w:rPr>
        <w:t xml:space="preserve">, para que sea glosado el expediente o, en su caso, las razones por las que no les es posible realizar dicho resumen. Si no se cumple con este último requisito, la </w:t>
      </w:r>
      <w:r w:rsidRPr="00EA41FF">
        <w:rPr>
          <w:smallCaps/>
          <w:color w:val="000000"/>
          <w:lang w:val="es-MX"/>
        </w:rPr>
        <w:t xml:space="preserve">Cofece </w:t>
      </w:r>
      <w:r w:rsidRPr="00EA41FF">
        <w:rPr>
          <w:color w:val="000000"/>
          <w:lang w:val="es-MX"/>
        </w:rPr>
        <w:t xml:space="preserve">requerirá de nueva cuenta el resumen. Si este último no cumple con lo requerido, la </w:t>
      </w:r>
      <w:r w:rsidRPr="00EA41FF">
        <w:rPr>
          <w:smallCaps/>
          <w:color w:val="000000"/>
          <w:lang w:val="es-MX"/>
        </w:rPr>
        <w:t xml:space="preserve">Cofece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3B63BA" w:rsidRPr="00EA41FF" w:rsidRDefault="003B63BA" w:rsidP="00D7796F">
      <w:pPr>
        <w:tabs>
          <w:tab w:val="num" w:pos="567"/>
        </w:tabs>
        <w:spacing w:after="12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3B63BA" w:rsidRPr="00EA41FF" w:rsidRDefault="003B63BA" w:rsidP="00D7796F">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3B63BA" w:rsidRPr="00EA41FF" w:rsidRDefault="003B63BA" w:rsidP="003B63BA">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D7796F" w:rsidRDefault="00D7796F">
      <w:pPr>
        <w:rPr>
          <w:b/>
          <w:bCs/>
          <w:smallCaps/>
          <w:color w:val="000000"/>
          <w:lang w:val="es-MX"/>
        </w:rPr>
      </w:pPr>
      <w:r>
        <w:rPr>
          <w:b/>
          <w:bCs/>
          <w:smallCaps/>
          <w:color w:val="000000"/>
          <w:lang w:val="es-MX"/>
        </w:rPr>
        <w:br w:type="page"/>
      </w:r>
    </w:p>
    <w:p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B63BA" w:rsidRDefault="003B63BA" w:rsidP="003B63BA">
      <w:pPr>
        <w:rPr>
          <w:b/>
          <w:bCs/>
          <w:smallCaps/>
          <w:lang w:val="es-MX"/>
        </w:rPr>
      </w:pPr>
      <w:r>
        <w:rPr>
          <w:b/>
          <w:bCs/>
          <w:smallCaps/>
          <w:lang w:val="es-MX"/>
        </w:rPr>
        <w:br w:type="page"/>
      </w:r>
    </w:p>
    <w:p w:rsidR="007C7D3B" w:rsidRPr="006A4124" w:rsidRDefault="00D7796F" w:rsidP="00123038">
      <w:pPr>
        <w:spacing w:after="160"/>
        <w:ind w:left="1276" w:hanging="1276"/>
        <w:jc w:val="both"/>
        <w:rPr>
          <w:b/>
          <w:bCs/>
          <w:smallCaps/>
        </w:rPr>
      </w:pPr>
      <w:r>
        <w:rPr>
          <w:b/>
          <w:bCs/>
          <w:smallCaps/>
        </w:rPr>
        <w:lastRenderedPageBreak/>
        <w:t>Sección II.</w:t>
      </w:r>
      <w:r>
        <w:rPr>
          <w:b/>
          <w:bCs/>
          <w:smallCaps/>
        </w:rPr>
        <w:tab/>
        <w:t>Cuestionario</w:t>
      </w:r>
    </w:p>
    <w:p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los datos y documentos antes referidos deberán ser proporcionados por cada uno de sus integrantes.</w:t>
      </w:r>
    </w:p>
    <w:p w:rsidR="007D4E89" w:rsidRDefault="007D4E89" w:rsidP="007D4E89">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w:t>
      </w:r>
    </w:p>
    <w:p w:rsidR="00B97FA9" w:rsidRPr="006A4124" w:rsidRDefault="00B97FA9" w:rsidP="00D7796F">
      <w:pPr>
        <w:pStyle w:val="Sangradetextonormal"/>
        <w:numPr>
          <w:ilvl w:val="0"/>
          <w:numId w:val="2"/>
        </w:numPr>
        <w:spacing w:after="160"/>
        <w:ind w:left="426" w:hanging="426"/>
        <w:rPr>
          <w:rFonts w:ascii="Times New Roman" w:hAnsi="Times New Roman"/>
        </w:rPr>
      </w:pPr>
      <w:r>
        <w:rPr>
          <w:rFonts w:ascii="Times New Roman" w:hAnsi="Times New Roman"/>
        </w:rPr>
        <w:t>Indicar si la 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Especificar la estructura accionaria de la sociedad a constituir, precisando las personas morales y</w:t>
      </w:r>
      <w:r w:rsidR="00162D97">
        <w:rPr>
          <w:rFonts w:ascii="Times New Roman" w:hAnsi="Times New Roman"/>
        </w:rPr>
        <w:t>/o</w:t>
      </w:r>
      <w:r w:rsidRPr="006A4124">
        <w:rPr>
          <w:rFonts w:ascii="Times New Roman" w:hAnsi="Times New Roman"/>
        </w:rPr>
        <w:t xml:space="preserve">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sidR="005907D2">
        <w:rPr>
          <w:rFonts w:ascii="Times New Roman" w:hAnsi="Times New Roman"/>
        </w:rPr>
        <w:t xml:space="preserve">cada una de </w:t>
      </w:r>
      <w:r w:rsidRPr="006A4124">
        <w:rPr>
          <w:rFonts w:ascii="Times New Roman" w:hAnsi="Times New Roman"/>
        </w:rPr>
        <w:t xml:space="preserve">las personas antes referidas, </w:t>
      </w:r>
      <w:r w:rsidR="005907D2">
        <w:rPr>
          <w:rFonts w:ascii="Times New Roman" w:hAnsi="Times New Roman"/>
        </w:rPr>
        <w:t xml:space="preserve">deberá </w:t>
      </w:r>
      <w:r w:rsidRPr="006A4124">
        <w:rPr>
          <w:rFonts w:ascii="Times New Roman" w:hAnsi="Times New Roman"/>
        </w:rPr>
        <w:t>proporcionar</w:t>
      </w:r>
      <w:r w:rsidR="005907D2">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rsidR="00B97FA9" w:rsidRPr="006A4124" w:rsidRDefault="00B97FA9" w:rsidP="005907D2">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Presidente del Consejo de Administración, Administrador Único o persona facultada para ello, ya sea que se trate de sociedades mexicanas o extranjeras, identificando la participación de cada socio o accionista directo e indirecto. </w:t>
      </w:r>
    </w:p>
    <w:p w:rsidR="00B97FA9" w:rsidRDefault="00B97FA9" w:rsidP="00A43CCF">
      <w:pPr>
        <w:pStyle w:val="Sangradetextonormal"/>
        <w:spacing w:after="160"/>
        <w:ind w:left="426" w:hanging="1"/>
        <w:rPr>
          <w:rFonts w:ascii="Times New Roman" w:hAnsi="Times New Roman"/>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 y de las personas que tienen el control.</w:t>
      </w:r>
    </w:p>
    <w:p w:rsidR="00B97FA9" w:rsidRPr="006A4124" w:rsidRDefault="00B97FA9" w:rsidP="00D7796F">
      <w:pPr>
        <w:pStyle w:val="Sangradetextonormal"/>
        <w:numPr>
          <w:ilvl w:val="0"/>
          <w:numId w:val="2"/>
        </w:numPr>
        <w:spacing w:after="160"/>
        <w:ind w:left="426" w:hanging="426"/>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005907D2">
        <w:rPr>
          <w:rFonts w:ascii="Times New Roman" w:hAnsi="Times New Roman"/>
          <w:bCs w:val="0"/>
          <w:smallCaps/>
        </w:rPr>
        <w:t>,</w:t>
      </w:r>
      <w:r w:rsidRPr="006A4124">
        <w:rPr>
          <w:rFonts w:ascii="Times New Roman" w:hAnsi="Times New Roman"/>
        </w:rPr>
        <w:t xml:space="preserve"> o bien </w:t>
      </w:r>
      <w:r w:rsidR="005907D2">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w:t>
      </w:r>
      <w:r w:rsidR="00E54367">
        <w:rPr>
          <w:rFonts w:ascii="Times New Roman" w:hAnsi="Times New Roman"/>
        </w:rPr>
        <w:t>(</w:t>
      </w:r>
      <w:r w:rsidRPr="006A4124">
        <w:rPr>
          <w:rFonts w:ascii="Times New Roman" w:hAnsi="Times New Roman"/>
        </w:rPr>
        <w:t>n</w:t>
      </w:r>
      <w:r w:rsidR="00E54367">
        <w:rPr>
          <w:rFonts w:ascii="Times New Roman" w:hAnsi="Times New Roman"/>
        </w:rPr>
        <w:t>)</w:t>
      </w:r>
      <w:r w:rsidRPr="006A4124">
        <w:rPr>
          <w:rFonts w:ascii="Times New Roman" w:hAnsi="Times New Roman"/>
        </w:rPr>
        <w:t xml:space="preserve">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sidR="005907D2">
        <w:rPr>
          <w:rFonts w:ascii="Times New Roman" w:hAnsi="Times New Roman"/>
        </w:rPr>
        <w:t>,</w:t>
      </w:r>
      <w:r w:rsidRPr="006A4124">
        <w:rPr>
          <w:rFonts w:ascii="Times New Roman" w:hAnsi="Times New Roman"/>
        </w:rPr>
        <w:t xml:space="preserve"> y si depende</w:t>
      </w:r>
      <w:r w:rsidR="00E54367">
        <w:rPr>
          <w:rFonts w:ascii="Times New Roman" w:hAnsi="Times New Roman"/>
        </w:rPr>
        <w:t>(</w:t>
      </w:r>
      <w:r w:rsidRPr="006A4124">
        <w:rPr>
          <w:rFonts w:ascii="Times New Roman" w:hAnsi="Times New Roman"/>
        </w:rPr>
        <w:t>n</w:t>
      </w:r>
      <w:r w:rsidR="00E54367">
        <w:rPr>
          <w:rFonts w:ascii="Times New Roman" w:hAnsi="Times New Roman"/>
        </w:rPr>
        <w:t>)</w:t>
      </w:r>
      <w:r w:rsidRPr="006A4124">
        <w:rPr>
          <w:rFonts w:ascii="Times New Roman" w:hAnsi="Times New Roman"/>
        </w:rPr>
        <w:t xml:space="preserve">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F122EA">
        <w:rPr>
          <w:rFonts w:ascii="Times New Roman" w:hAnsi="Times New Roman"/>
          <w:b/>
        </w:rPr>
        <w:t>iii)</w:t>
      </w:r>
      <w:r w:rsidRPr="00F122EA">
        <w:rPr>
          <w:rFonts w:ascii="Times New Roman" w:hAnsi="Times New Roman"/>
        </w:rPr>
        <w:t xml:space="preserve"> las actividades económicas que cada una de dichas sociedades realiza en el extranjero y en México</w:t>
      </w:r>
      <w:r w:rsidRPr="006A4124">
        <w:rPr>
          <w:rFonts w:ascii="Times New Roman" w:hAnsi="Times New Roman"/>
        </w:rPr>
        <w:t xml:space="preserve">; </w:t>
      </w:r>
      <w:r>
        <w:rPr>
          <w:rFonts w:ascii="Times New Roman" w:hAnsi="Times New Roman"/>
        </w:rPr>
        <w:t xml:space="preserve">y </w:t>
      </w:r>
      <w:r w:rsidRPr="006A4124">
        <w:rPr>
          <w:rFonts w:ascii="Times New Roman" w:hAnsi="Times New Roman"/>
          <w:b/>
        </w:rPr>
        <w:t>iv)</w:t>
      </w:r>
      <w:r w:rsidRPr="006A4124">
        <w:rPr>
          <w:rFonts w:ascii="Times New Roman" w:hAnsi="Times New Roman"/>
        </w:rPr>
        <w:t xml:space="preserve"> las concesiones, permisos, autorizaciones o cualquier otro contrato que detenten o sean titulares dichas empresas en el sector portuario en México </w:t>
      </w:r>
      <w:r w:rsidR="00D40E2F">
        <w:rPr>
          <w:rFonts w:ascii="Times New Roman" w:hAnsi="Times New Roman"/>
        </w:rPr>
        <w:t>y/</w:t>
      </w:r>
      <w:r w:rsidRPr="006A4124">
        <w:rPr>
          <w:rFonts w:ascii="Times New Roman" w:hAnsi="Times New Roman"/>
        </w:rPr>
        <w:t xml:space="preserve">o </w:t>
      </w:r>
      <w:r w:rsidR="00D40E2F">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un diagrama corporativo.</w:t>
      </w:r>
      <w:bookmarkEnd w:id="1"/>
    </w:p>
    <w:p w:rsidR="00B97FA9" w:rsidRPr="00F122EA" w:rsidRDefault="00B97FA9" w:rsidP="00D7796F">
      <w:pPr>
        <w:pStyle w:val="Sangradetextonormal"/>
        <w:numPr>
          <w:ilvl w:val="0"/>
          <w:numId w:val="2"/>
        </w:numPr>
        <w:spacing w:after="160"/>
        <w:ind w:left="426" w:hanging="426"/>
        <w:rPr>
          <w:rFonts w:ascii="Times New Roman" w:hAnsi="Times New Roman"/>
        </w:rPr>
      </w:pPr>
      <w:r w:rsidRPr="00F122EA">
        <w:rPr>
          <w:rFonts w:ascii="Times New Roman" w:hAnsi="Times New Roman"/>
        </w:rPr>
        <w:t xml:space="preserve">Describir las actividades económicas y/o funciones que actualmente realiza el </w:t>
      </w:r>
      <w:r w:rsidRPr="00F122EA">
        <w:rPr>
          <w:rFonts w:ascii="Times New Roman" w:hAnsi="Times New Roman"/>
          <w:bCs w:val="0"/>
          <w:smallCaps/>
        </w:rPr>
        <w:t>Participante Individual,</w:t>
      </w:r>
      <w:r w:rsidRPr="00F122EA">
        <w:rPr>
          <w:rFonts w:ascii="Times New Roman" w:hAnsi="Times New Roman"/>
        </w:rPr>
        <w:t xml:space="preserve"> cada uno de sus accionistas, subsidiarias, filiales, empresas relacionadas y empresas con las que tienen coinversiones. Esta información deberá ser proporcionada por cada integrante del </w:t>
      </w:r>
      <w:r w:rsidRPr="00F122EA">
        <w:rPr>
          <w:rFonts w:ascii="Times New Roman" w:hAnsi="Times New Roman"/>
          <w:bCs w:val="0"/>
          <w:smallCaps/>
        </w:rPr>
        <w:t xml:space="preserve">Participante en Grupo </w:t>
      </w:r>
      <w:r w:rsidRPr="00F122EA">
        <w:rPr>
          <w:rFonts w:ascii="Times New Roman" w:hAnsi="Times New Roman"/>
        </w:rPr>
        <w:t>y sus respectivos accionistas, subsidiarias, filiales, empresa relacionadas y con las que tenga celebradas coinversiones. En todos los casos se deberán indicar cada uno de los mercados en los que participen.</w:t>
      </w:r>
    </w:p>
    <w:p w:rsidR="0018326A" w:rsidRDefault="0018326A" w:rsidP="0018326A">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presentar copia simple de</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w:t>
      </w:r>
      <w:r>
        <w:rPr>
          <w:rFonts w:ascii="Times New Roman" w:hAnsi="Times New Roman"/>
        </w:rPr>
        <w:lastRenderedPageBreak/>
        <w:t xml:space="preserve">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sidR="00162D97">
        <w:rPr>
          <w:rFonts w:ascii="Times New Roman" w:hAnsi="Times New Roman"/>
        </w:rPr>
        <w:t>, así como sus correspondientes modificaciones y anexos</w:t>
      </w:r>
      <w:r w:rsidRPr="006A4124">
        <w:rPr>
          <w:rFonts w:ascii="Times New Roman" w:hAnsi="Times New Roman"/>
        </w:rPr>
        <w:t xml:space="preserve"> </w:t>
      </w:r>
    </w:p>
    <w:p w:rsidR="00B97FA9" w:rsidRPr="006E11AD" w:rsidRDefault="00B97FA9" w:rsidP="002005F1">
      <w:pPr>
        <w:pStyle w:val="Sangradetextonormal"/>
        <w:numPr>
          <w:ilvl w:val="0"/>
          <w:numId w:val="2"/>
        </w:numPr>
        <w:tabs>
          <w:tab w:val="clear" w:pos="2629"/>
          <w:tab w:val="num" w:pos="2269"/>
        </w:tabs>
        <w:spacing w:after="160"/>
        <w:ind w:left="426" w:hanging="426"/>
        <w:rPr>
          <w:rFonts w:ascii="Times New Roman" w:hAnsi="Times New Roman"/>
        </w:rPr>
      </w:pPr>
      <w:r w:rsidRPr="006A4124">
        <w:rPr>
          <w:rFonts w:ascii="Times New Roman" w:hAnsi="Times New Roman"/>
        </w:rPr>
        <w:t>Presentar copia</w:t>
      </w:r>
      <w:r w:rsidR="00162D97">
        <w:rPr>
          <w:rFonts w:ascii="Times New Roman" w:hAnsi="Times New Roman"/>
        </w:rPr>
        <w:t xml:space="preserve"> simple</w:t>
      </w:r>
      <w:r w:rsidRPr="006A4124">
        <w:rPr>
          <w:rFonts w:ascii="Times New Roman" w:hAnsi="Times New Roman"/>
        </w:rPr>
        <w:t xml:space="preserve"> de los estados financieros de los últimos tres años</w:t>
      </w:r>
      <w:r>
        <w:rPr>
          <w:rFonts w:ascii="Times New Roman" w:hAnsi="Times New Roman"/>
        </w:rPr>
        <w:t xml:space="preserve"> fiscales</w:t>
      </w:r>
      <w:r w:rsidRPr="006A4124">
        <w:rPr>
          <w:rFonts w:ascii="Times New Roman" w:hAnsi="Times New Roman"/>
        </w:rPr>
        <w:t xml:space="preserv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rsidR="006E11AD" w:rsidRPr="00E17D9F" w:rsidRDefault="006E11AD" w:rsidP="002005F1">
      <w:pPr>
        <w:pStyle w:val="Sangradetextonormal"/>
        <w:numPr>
          <w:ilvl w:val="0"/>
          <w:numId w:val="2"/>
        </w:numPr>
        <w:tabs>
          <w:tab w:val="clear" w:pos="2629"/>
        </w:tabs>
        <w:spacing w:after="160"/>
        <w:ind w:left="426" w:hanging="426"/>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w:t>
      </w:r>
      <w:r w:rsidRPr="00D7796F">
        <w:rPr>
          <w:rFonts w:ascii="Times New Roman" w:hAnsi="Times New Roman"/>
        </w:rPr>
        <w:t>cada</w:t>
      </w:r>
      <w:r>
        <w:rPr>
          <w:rFonts w:ascii="Times New Roman" w:hAnsi="Times New Roman"/>
          <w:bCs w:val="0"/>
        </w:rPr>
        <w:t xml:space="preserve">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D40E2F">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w:t>
      </w:r>
      <w:r w:rsidR="00B45DF8">
        <w:rPr>
          <w:rFonts w:ascii="Times New Roman" w:hAnsi="Times New Roman"/>
          <w:bCs w:val="0"/>
        </w:rPr>
        <w:t>n</w:t>
      </w:r>
      <w:r>
        <w:rPr>
          <w:rFonts w:ascii="Times New Roman" w:hAnsi="Times New Roman"/>
          <w:bCs w:val="0"/>
        </w:rPr>
        <w:t xml:space="preserve"> describir las actividades y trabajos que llevarán a cabo dichos prestadores de servicios.</w:t>
      </w:r>
    </w:p>
    <w:p w:rsidR="00E11ACC" w:rsidRDefault="00E11ACC" w:rsidP="002005F1">
      <w:pPr>
        <w:pStyle w:val="Sangradetextonormal"/>
        <w:numPr>
          <w:ilvl w:val="0"/>
          <w:numId w:val="2"/>
        </w:numPr>
        <w:tabs>
          <w:tab w:val="clear" w:pos="2629"/>
        </w:tabs>
        <w:spacing w:after="80"/>
        <w:ind w:left="426" w:hanging="426"/>
        <w:rPr>
          <w:rFonts w:ascii="Times New Roman" w:hAnsi="Times New Roman"/>
        </w:rPr>
      </w:pPr>
      <w:r>
        <w:rPr>
          <w:rFonts w:ascii="Times New Roman" w:hAnsi="Times New Roman"/>
        </w:rPr>
        <w:t xml:space="preserve">Proporcionar una descripción detallada de cada una de las maniobras </w:t>
      </w:r>
      <w:r w:rsidR="00521D6F">
        <w:rPr>
          <w:rFonts w:ascii="Times New Roman" w:hAnsi="Times New Roman"/>
        </w:rPr>
        <w:t xml:space="preserve">señaladas </w:t>
      </w:r>
      <w:r>
        <w:rPr>
          <w:rFonts w:ascii="Times New Roman" w:hAnsi="Times New Roman"/>
        </w:rPr>
        <w:t>en el artículo 44 fracción III de la Ley d</w:t>
      </w:r>
      <w:r w:rsidR="00521D6F">
        <w:rPr>
          <w:rFonts w:ascii="Times New Roman" w:hAnsi="Times New Roman"/>
        </w:rPr>
        <w:t xml:space="preserve">e Puertos: </w:t>
      </w:r>
      <w:r>
        <w:rPr>
          <w:rFonts w:ascii="Times New Roman" w:hAnsi="Times New Roman"/>
        </w:rPr>
        <w:t>carga,</w:t>
      </w:r>
      <w:r w:rsidRPr="009702AA">
        <w:rPr>
          <w:rFonts w:ascii="Times New Roman" w:hAnsi="Times New Roman"/>
        </w:rPr>
        <w:t xml:space="preserve"> descarga, alij</w:t>
      </w:r>
      <w:r>
        <w:rPr>
          <w:rFonts w:ascii="Times New Roman" w:hAnsi="Times New Roman"/>
        </w:rPr>
        <w:t xml:space="preserve">o, almacenaje, estiba y acarreo </w:t>
      </w:r>
      <w:r w:rsidR="007C4276">
        <w:rPr>
          <w:rFonts w:ascii="Times New Roman" w:hAnsi="Times New Roman"/>
        </w:rPr>
        <w:t>que apliquen a la</w:t>
      </w:r>
      <w:r w:rsidR="0099486E">
        <w:rPr>
          <w:rFonts w:ascii="Times New Roman" w:hAnsi="Times New Roman"/>
        </w:rPr>
        <w:t>s</w:t>
      </w:r>
      <w:r w:rsidR="007C4276">
        <w:rPr>
          <w:rFonts w:ascii="Times New Roman" w:hAnsi="Times New Roman"/>
        </w:rPr>
        <w:t xml:space="preserve"> carga</w:t>
      </w:r>
      <w:r w:rsidR="0099486E">
        <w:rPr>
          <w:rFonts w:ascii="Times New Roman" w:hAnsi="Times New Roman"/>
        </w:rPr>
        <w:t>s</w:t>
      </w:r>
      <w:r w:rsidR="007C4276">
        <w:rPr>
          <w:rFonts w:ascii="Times New Roman" w:hAnsi="Times New Roman"/>
        </w:rPr>
        <w:t xml:space="preserve"> </w:t>
      </w:r>
      <w:r w:rsidR="0099486E">
        <w:rPr>
          <w:rFonts w:ascii="Times New Roman" w:hAnsi="Times New Roman"/>
        </w:rPr>
        <w:t xml:space="preserve">de productos agrícolas a </w:t>
      </w:r>
      <w:r w:rsidR="00391EFD">
        <w:rPr>
          <w:rFonts w:ascii="Times New Roman" w:hAnsi="Times New Roman"/>
        </w:rPr>
        <w:t>granel</w:t>
      </w:r>
      <w:r w:rsidR="007C4276">
        <w:rPr>
          <w:rFonts w:ascii="Times New Roman" w:hAnsi="Times New Roman"/>
        </w:rPr>
        <w:t>, explicando:</w:t>
      </w:r>
    </w:p>
    <w:p w:rsidR="00E11ACC" w:rsidRPr="00A40807" w:rsidRDefault="007C4276" w:rsidP="007C4276">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w:t>
      </w:r>
      <w:r w:rsidR="004A4CFB">
        <w:rPr>
          <w:rFonts w:ascii="Times New Roman" w:hAnsi="Times New Roman"/>
        </w:rPr>
        <w:t xml:space="preserve">distintos productos </w:t>
      </w:r>
      <w:r w:rsidR="008547BF">
        <w:rPr>
          <w:rFonts w:ascii="Times New Roman" w:hAnsi="Times New Roman"/>
        </w:rPr>
        <w:t xml:space="preserve">clasificados como carga </w:t>
      </w:r>
      <w:r w:rsidR="00391EFD">
        <w:rPr>
          <w:rFonts w:ascii="Times New Roman" w:hAnsi="Times New Roman"/>
        </w:rPr>
        <w:t xml:space="preserve">granel agrícola, </w:t>
      </w:r>
      <w:r w:rsidR="00DB1BC9">
        <w:rPr>
          <w:rFonts w:ascii="Times New Roman" w:hAnsi="Times New Roman"/>
        </w:rPr>
        <w:t>en los</w:t>
      </w:r>
      <w:r w:rsidR="00391EFD">
        <w:rPr>
          <w:rFonts w:ascii="Times New Roman" w:hAnsi="Times New Roman"/>
        </w:rPr>
        <w:t xml:space="preserve"> muelles 5 y 6 de la Banda Sur del Puerto de Guaymas</w:t>
      </w:r>
      <w:r w:rsidR="00E11ACC" w:rsidRPr="00A40807">
        <w:rPr>
          <w:rFonts w:ascii="Times New Roman" w:hAnsi="Times New Roman"/>
        </w:rPr>
        <w:t>;</w:t>
      </w:r>
    </w:p>
    <w:p w:rsidR="007C4276" w:rsidRDefault="00E11ACC" w:rsidP="007C4276">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w:t>
      </w:r>
      <w:r w:rsidR="007C4276">
        <w:rPr>
          <w:rFonts w:ascii="Times New Roman" w:hAnsi="Times New Roman"/>
        </w:rPr>
        <w:t>utilizan en cada tipo de producto</w:t>
      </w:r>
      <w:r w:rsidR="004C5602">
        <w:rPr>
          <w:rFonts w:ascii="Times New Roman" w:hAnsi="Times New Roman"/>
        </w:rPr>
        <w:t xml:space="preserve"> de granel agrícola</w:t>
      </w:r>
      <w:r w:rsidR="007C4276">
        <w:rPr>
          <w:rFonts w:ascii="Times New Roman" w:hAnsi="Times New Roman"/>
        </w:rPr>
        <w:t>;</w:t>
      </w:r>
    </w:p>
    <w:p w:rsidR="0069224F" w:rsidRDefault="007C4276" w:rsidP="0069224F">
      <w:pPr>
        <w:pStyle w:val="Sangradetextonormal"/>
        <w:numPr>
          <w:ilvl w:val="0"/>
          <w:numId w:val="8"/>
        </w:numPr>
        <w:spacing w:after="80"/>
        <w:ind w:left="992" w:hanging="425"/>
        <w:rPr>
          <w:rFonts w:ascii="Times New Roman" w:hAnsi="Times New Roman"/>
        </w:rPr>
      </w:pPr>
      <w:r>
        <w:rPr>
          <w:rFonts w:ascii="Times New Roman" w:hAnsi="Times New Roman"/>
        </w:rPr>
        <w:t>Las diferencias que existen cuando las maniobras son semi-especializadas, respecto de las maniobras especializadas</w:t>
      </w:r>
      <w:r w:rsidR="0096100D">
        <w:rPr>
          <w:rFonts w:ascii="Times New Roman" w:hAnsi="Times New Roman"/>
        </w:rPr>
        <w:t>,</w:t>
      </w:r>
      <w:r>
        <w:rPr>
          <w:rFonts w:ascii="Times New Roman" w:hAnsi="Times New Roman"/>
        </w:rPr>
        <w:t xml:space="preserve"> </w:t>
      </w:r>
      <w:r w:rsidR="0096100D">
        <w:rPr>
          <w:rFonts w:ascii="Times New Roman" w:hAnsi="Times New Roman"/>
        </w:rPr>
        <w:t xml:space="preserve">incluyendo la distinción y explicación de </w:t>
      </w:r>
      <w:r>
        <w:rPr>
          <w:rFonts w:ascii="Times New Roman" w:hAnsi="Times New Roman"/>
        </w:rPr>
        <w:t xml:space="preserve">las que se llevan a cabo a costado de buque (directamente de embarcación a transporte terrestre) y de las que </w:t>
      </w:r>
      <w:r w:rsidRPr="005258F5">
        <w:rPr>
          <w:rFonts w:ascii="Times New Roman" w:hAnsi="Times New Roman"/>
        </w:rPr>
        <w:t xml:space="preserve">incluyen el paso por </w:t>
      </w:r>
      <w:r w:rsidR="0096100D" w:rsidRPr="005258F5">
        <w:rPr>
          <w:rFonts w:ascii="Times New Roman" w:hAnsi="Times New Roman"/>
        </w:rPr>
        <w:t>un área de almacenaje</w:t>
      </w:r>
      <w:r w:rsidRPr="005258F5">
        <w:rPr>
          <w:rFonts w:ascii="Times New Roman" w:hAnsi="Times New Roman"/>
        </w:rPr>
        <w:t>.</w:t>
      </w:r>
    </w:p>
    <w:p w:rsidR="00521D6F" w:rsidRPr="0069224F" w:rsidRDefault="0096100D" w:rsidP="0069224F">
      <w:pPr>
        <w:pStyle w:val="Sangradetextonormal"/>
        <w:numPr>
          <w:ilvl w:val="0"/>
          <w:numId w:val="8"/>
        </w:numPr>
        <w:spacing w:after="80"/>
        <w:ind w:left="992" w:hanging="425"/>
        <w:rPr>
          <w:rFonts w:ascii="Times New Roman" w:hAnsi="Times New Roman"/>
        </w:rPr>
      </w:pPr>
      <w:r w:rsidRPr="0069224F">
        <w:rPr>
          <w:rFonts w:ascii="Times New Roman" w:hAnsi="Times New Roman"/>
        </w:rPr>
        <w:t xml:space="preserve">Señalar las maniobras, por tipo de producto, que planea proporcionar </w:t>
      </w:r>
      <w:r w:rsidR="00521D6F" w:rsidRPr="0069224F">
        <w:rPr>
          <w:rFonts w:ascii="Times New Roman" w:hAnsi="Times New Roman"/>
        </w:rPr>
        <w:t xml:space="preserve">en la </w:t>
      </w:r>
      <w:r w:rsidR="009C1F02" w:rsidRPr="0069224F">
        <w:rPr>
          <w:rFonts w:ascii="Times New Roman" w:hAnsi="Times New Roman"/>
          <w:smallCaps/>
        </w:rPr>
        <w:t>Instalación</w:t>
      </w:r>
      <w:r w:rsidR="00B27A72" w:rsidRPr="0069224F">
        <w:rPr>
          <w:rFonts w:ascii="Times New Roman" w:hAnsi="Times New Roman"/>
          <w:smallCaps/>
        </w:rPr>
        <w:t>.</w:t>
      </w:r>
    </w:p>
    <w:p w:rsidR="00E11ACC" w:rsidRPr="008547BF" w:rsidRDefault="006B3705" w:rsidP="0018326A">
      <w:pPr>
        <w:pStyle w:val="Sangradetextonormal"/>
        <w:numPr>
          <w:ilvl w:val="0"/>
          <w:numId w:val="2"/>
        </w:numPr>
        <w:tabs>
          <w:tab w:val="clear" w:pos="2629"/>
          <w:tab w:val="num" w:pos="2410"/>
        </w:tabs>
        <w:spacing w:after="160"/>
        <w:ind w:left="426" w:hanging="426"/>
        <w:rPr>
          <w:rFonts w:ascii="Times New Roman" w:hAnsi="Times New Roman"/>
        </w:rPr>
      </w:pPr>
      <w:r>
        <w:rPr>
          <w:rFonts w:ascii="Times New Roman" w:hAnsi="Times New Roman"/>
        </w:rPr>
        <w:t xml:space="preserve">Considerando </w:t>
      </w:r>
      <w:r w:rsidR="004C60FD">
        <w:rPr>
          <w:rFonts w:ascii="Times New Roman" w:hAnsi="Times New Roman"/>
        </w:rPr>
        <w:t xml:space="preserve">los tipos de gráneles agrícolas que planea atender en la </w:t>
      </w:r>
      <w:r w:rsidR="004C60FD" w:rsidRPr="004C60FD">
        <w:rPr>
          <w:rFonts w:ascii="Times New Roman" w:hAnsi="Times New Roman"/>
          <w:smallCaps/>
        </w:rPr>
        <w:t>Instalación</w:t>
      </w:r>
      <w:r w:rsidR="004C60FD">
        <w:rPr>
          <w:rFonts w:ascii="Times New Roman" w:hAnsi="Times New Roman"/>
        </w:rPr>
        <w:t xml:space="preserve">, </w:t>
      </w:r>
      <w:r w:rsidR="008547BF">
        <w:rPr>
          <w:rFonts w:ascii="Times New Roman" w:hAnsi="Times New Roman"/>
        </w:rPr>
        <w:t>pr</w:t>
      </w:r>
      <w:r w:rsidR="008547BF" w:rsidRPr="008547BF">
        <w:rPr>
          <w:rFonts w:ascii="Times New Roman" w:hAnsi="Times New Roman"/>
        </w:rPr>
        <w:t xml:space="preserve">esentar </w:t>
      </w:r>
      <w:r w:rsidR="00E11ACC" w:rsidRPr="008547BF">
        <w:rPr>
          <w:rFonts w:ascii="Times New Roman" w:hAnsi="Times New Roman"/>
        </w:rPr>
        <w:t>una lista de los productos que a la fecha se ma</w:t>
      </w:r>
      <w:r w:rsidR="00467D42">
        <w:rPr>
          <w:rFonts w:ascii="Times New Roman" w:hAnsi="Times New Roman"/>
        </w:rPr>
        <w:t xml:space="preserve">nejan en el Puerto de </w:t>
      </w:r>
      <w:r w:rsidR="0069224F">
        <w:rPr>
          <w:rFonts w:ascii="Times New Roman" w:hAnsi="Times New Roman"/>
        </w:rPr>
        <w:t>Guaymas</w:t>
      </w:r>
      <w:r w:rsidR="00467D42">
        <w:rPr>
          <w:rFonts w:ascii="Times New Roman" w:hAnsi="Times New Roman"/>
        </w:rPr>
        <w:t>, y aquéllos que podrían ser nuevos productos en este puerto.</w:t>
      </w:r>
    </w:p>
    <w:p w:rsidR="006129D5" w:rsidRDefault="006129D5" w:rsidP="0018326A">
      <w:pPr>
        <w:pStyle w:val="Sangradetextonormal"/>
        <w:numPr>
          <w:ilvl w:val="0"/>
          <w:numId w:val="2"/>
        </w:numPr>
        <w:tabs>
          <w:tab w:val="clear" w:pos="2629"/>
          <w:tab w:val="num" w:pos="2410"/>
        </w:tabs>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0623FC">
        <w:rPr>
          <w:rFonts w:ascii="Times New Roman" w:hAnsi="Times New Roman"/>
        </w:rPr>
        <w:t>,</w:t>
      </w:r>
      <w:r>
        <w:rPr>
          <w:rFonts w:ascii="Times New Roman" w:hAnsi="Times New Roman"/>
        </w:rPr>
        <w:t xml:space="preserve"> 5 </w:t>
      </w:r>
      <w:r w:rsidR="000623FC">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w:t>
      </w:r>
      <w:r w:rsidR="007D4E89">
        <w:rPr>
          <w:rFonts w:ascii="Times New Roman" w:hAnsi="Times New Roman"/>
        </w:rPr>
        <w:t xml:space="preserve">similares a las que llevará a cabo en la </w:t>
      </w:r>
      <w:r w:rsidR="007D4E89" w:rsidRPr="007D4E89">
        <w:rPr>
          <w:rFonts w:ascii="Times New Roman" w:hAnsi="Times New Roman"/>
          <w:smallCaps/>
        </w:rPr>
        <w:t>Instalación</w:t>
      </w:r>
      <w:r w:rsidR="007D4E89">
        <w:rPr>
          <w:rFonts w:ascii="Times New Roman" w:hAnsi="Times New Roman"/>
        </w:rPr>
        <w:t xml:space="preserve"> objeto del </w:t>
      </w:r>
      <w:r w:rsidR="007D4E89" w:rsidRPr="007D4E89">
        <w:rPr>
          <w:rFonts w:ascii="Times New Roman" w:hAnsi="Times New Roman"/>
          <w:smallCaps/>
        </w:rPr>
        <w:t>Concurso</w:t>
      </w:r>
      <w:r w:rsidR="007D4E89">
        <w:rPr>
          <w:rFonts w:ascii="Times New Roman" w:hAnsi="Times New Roman"/>
        </w:rPr>
        <w:t xml:space="preserve"> en puerto</w:t>
      </w:r>
      <w:r w:rsidR="00112C2D">
        <w:rPr>
          <w:rFonts w:ascii="Times New Roman" w:hAnsi="Times New Roman"/>
        </w:rPr>
        <w:t>s</w:t>
      </w:r>
      <w:r w:rsidR="007D4E89">
        <w:rPr>
          <w:rFonts w:ascii="Times New Roman" w:hAnsi="Times New Roman"/>
        </w:rPr>
        <w:t xml:space="preserve"> </w:t>
      </w:r>
      <w:r>
        <w:rPr>
          <w:rFonts w:ascii="Times New Roman" w:hAnsi="Times New Roman"/>
        </w:rPr>
        <w:t xml:space="preserve">del país, incluido el Puerto de </w:t>
      </w:r>
      <w:r w:rsidR="007D4E89">
        <w:rPr>
          <w:rFonts w:ascii="Times New Roman" w:hAnsi="Times New Roman"/>
        </w:rPr>
        <w:t>Guaymas</w:t>
      </w:r>
      <w:r>
        <w:rPr>
          <w:rFonts w:ascii="Times New Roman" w:hAnsi="Times New Roman"/>
        </w:rPr>
        <w:t xml:space="preserve">, </w:t>
      </w:r>
      <w:r w:rsidR="00B66E56">
        <w:rPr>
          <w:rFonts w:ascii="Times New Roman" w:hAnsi="Times New Roman"/>
        </w:rPr>
        <w:t xml:space="preserve">o participe en coinversiones con el mismo objeto, deberá </w:t>
      </w:r>
      <w:r w:rsidRPr="00BE2E16">
        <w:rPr>
          <w:rFonts w:ascii="Times New Roman" w:hAnsi="Times New Roman"/>
        </w:rPr>
        <w:t xml:space="preserve">indicar cada una </w:t>
      </w:r>
      <w:r w:rsidR="007D4E89">
        <w:rPr>
          <w:rFonts w:ascii="Times New Roman" w:hAnsi="Times New Roman"/>
        </w:rPr>
        <w:t xml:space="preserve">de </w:t>
      </w:r>
      <w:r w:rsidRPr="00BE2E16">
        <w:rPr>
          <w:rFonts w:ascii="Times New Roman" w:hAnsi="Times New Roman"/>
        </w:rPr>
        <w:t xml:space="preserve">las instalaciones </w:t>
      </w:r>
      <w:r w:rsidR="00B27A72">
        <w:rPr>
          <w:rFonts w:ascii="Times New Roman" w:hAnsi="Times New Roman"/>
        </w:rPr>
        <w:t>y/o</w:t>
      </w:r>
      <w:r w:rsidRPr="00BE2E16">
        <w:rPr>
          <w:rFonts w:ascii="Times New Roman" w:hAnsi="Times New Roman"/>
        </w:rPr>
        <w:t xml:space="preserve"> terminales</w:t>
      </w:r>
      <w:r w:rsidR="00B27A72">
        <w:rPr>
          <w:rFonts w:ascii="Times New Roman" w:hAnsi="Times New Roman"/>
        </w:rPr>
        <w:t>,</w:t>
      </w:r>
      <w:r w:rsidRPr="00BE2E16">
        <w:rPr>
          <w:rFonts w:ascii="Times New Roman" w:hAnsi="Times New Roman"/>
        </w:rPr>
        <w:t xml:space="preserve">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servicios, permisos u otro tipo de títulos o concesiones. </w:t>
      </w:r>
      <w:r w:rsidR="007D4E89">
        <w:rPr>
          <w:rFonts w:ascii="Times New Roman" w:hAnsi="Times New Roman"/>
        </w:rPr>
        <w:t>En</w:t>
      </w:r>
      <w:r w:rsidR="005C3C32">
        <w:rPr>
          <w:rFonts w:ascii="Times New Roman" w:hAnsi="Times New Roman"/>
        </w:rPr>
        <w:t xml:space="preserve"> </w:t>
      </w:r>
      <w:r>
        <w:rPr>
          <w:rFonts w:ascii="Times New Roman" w:hAnsi="Times New Roman"/>
        </w:rPr>
        <w:t xml:space="preserve">cada caso deberá: </w:t>
      </w:r>
    </w:p>
    <w:p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Identificar </w:t>
      </w:r>
      <w:r w:rsidRPr="00BE2E16">
        <w:rPr>
          <w:rFonts w:ascii="Times New Roman" w:hAnsi="Times New Roman"/>
        </w:rPr>
        <w:t xml:space="preserve">a </w:t>
      </w:r>
      <w:r w:rsidR="00F9764B">
        <w:rPr>
          <w:rFonts w:ascii="Times New Roman" w:hAnsi="Times New Roman"/>
        </w:rPr>
        <w:t xml:space="preserve">los </w:t>
      </w:r>
      <w:r w:rsidRPr="00BE2E16">
        <w:rPr>
          <w:rFonts w:ascii="Times New Roman" w:hAnsi="Times New Roman"/>
        </w:rPr>
        <w:t>respectivos clientes</w:t>
      </w:r>
      <w:r w:rsidR="00F9764B">
        <w:rPr>
          <w:rFonts w:ascii="Times New Roman" w:hAnsi="Times New Roman"/>
        </w:rPr>
        <w:t xml:space="preserve"> </w:t>
      </w:r>
      <w:r w:rsidR="004F68C8">
        <w:rPr>
          <w:rFonts w:ascii="Times New Roman" w:hAnsi="Times New Roman"/>
        </w:rPr>
        <w:t>que atiende con</w:t>
      </w:r>
      <w:r w:rsidR="00F9764B">
        <w:rPr>
          <w:rFonts w:ascii="Times New Roman" w:hAnsi="Times New Roman"/>
        </w:rPr>
        <w:t xml:space="preserve"> cada contrato</w:t>
      </w:r>
      <w:r>
        <w:rPr>
          <w:rFonts w:ascii="Times New Roman" w:hAnsi="Times New Roman"/>
        </w:rPr>
        <w:t>,</w:t>
      </w:r>
      <w:r w:rsidR="00112C2D">
        <w:rPr>
          <w:rFonts w:ascii="Times New Roman" w:hAnsi="Times New Roman"/>
        </w:rPr>
        <w:t xml:space="preserve"> permiso, título o concesión,</w:t>
      </w:r>
      <w:r>
        <w:rPr>
          <w:rFonts w:ascii="Times New Roman" w:hAnsi="Times New Roman"/>
        </w:rPr>
        <w:t xml:space="preserve"> indicando la actividad económica a la que se dedican, especificando </w:t>
      </w:r>
      <w:r w:rsidR="004F68C8">
        <w:rPr>
          <w:rFonts w:ascii="Times New Roman" w:hAnsi="Times New Roman"/>
        </w:rPr>
        <w:t>los tipos de</w:t>
      </w:r>
      <w:r>
        <w:rPr>
          <w:rFonts w:ascii="Times New Roman" w:hAnsi="Times New Roman"/>
        </w:rPr>
        <w:t xml:space="preserve"> </w:t>
      </w:r>
      <w:r w:rsidR="00112C2D">
        <w:rPr>
          <w:rFonts w:ascii="Times New Roman" w:hAnsi="Times New Roman"/>
        </w:rPr>
        <w:t>gr</w:t>
      </w:r>
      <w:r w:rsidR="004F68C8">
        <w:rPr>
          <w:rFonts w:ascii="Times New Roman" w:hAnsi="Times New Roman"/>
        </w:rPr>
        <w:t>a</w:t>
      </w:r>
      <w:r w:rsidR="00112C2D">
        <w:rPr>
          <w:rFonts w:ascii="Times New Roman" w:hAnsi="Times New Roman"/>
        </w:rPr>
        <w:t>nel agrícola</w:t>
      </w:r>
      <w:r>
        <w:rPr>
          <w:rFonts w:ascii="Times New Roman" w:hAnsi="Times New Roman"/>
        </w:rPr>
        <w:t xml:space="preserve"> que </w:t>
      </w:r>
      <w:r w:rsidR="004F68C8">
        <w:rPr>
          <w:rFonts w:ascii="Times New Roman" w:hAnsi="Times New Roman"/>
        </w:rPr>
        <w:t xml:space="preserve">se </w:t>
      </w:r>
      <w:r>
        <w:rPr>
          <w:rFonts w:ascii="Times New Roman" w:hAnsi="Times New Roman"/>
        </w:rPr>
        <w:t xml:space="preserve">envían y/o reciben en </w:t>
      </w:r>
      <w:r w:rsidR="00F9764B">
        <w:rPr>
          <w:rFonts w:ascii="Times New Roman" w:hAnsi="Times New Roman"/>
        </w:rPr>
        <w:t xml:space="preserve">cada </w:t>
      </w:r>
      <w:r>
        <w:rPr>
          <w:rFonts w:ascii="Times New Roman" w:hAnsi="Times New Roman"/>
        </w:rPr>
        <w:t>instalación</w:t>
      </w:r>
      <w:r w:rsidR="005C3C32">
        <w:rPr>
          <w:rFonts w:ascii="Times New Roman" w:hAnsi="Times New Roman"/>
        </w:rPr>
        <w:t>,</w:t>
      </w:r>
      <w:r>
        <w:rPr>
          <w:rFonts w:ascii="Times New Roman" w:hAnsi="Times New Roman"/>
        </w:rPr>
        <w:t xml:space="preserve"> terminal</w:t>
      </w:r>
      <w:r w:rsidR="005C3C32">
        <w:rPr>
          <w:rFonts w:ascii="Times New Roman" w:hAnsi="Times New Roman"/>
        </w:rPr>
        <w:t xml:space="preserve"> o área de uso público</w:t>
      </w:r>
      <w:r>
        <w:rPr>
          <w:rFonts w:ascii="Times New Roman" w:hAnsi="Times New Roman"/>
        </w:rPr>
        <w:t>;</w:t>
      </w:r>
    </w:p>
    <w:p w:rsidR="000623FC"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Para </w:t>
      </w:r>
      <w:r w:rsidR="004F68C8">
        <w:rPr>
          <w:rFonts w:ascii="Times New Roman" w:hAnsi="Times New Roman"/>
        </w:rPr>
        <w:t>cada tipo de granel</w:t>
      </w:r>
      <w:r w:rsidR="00112C2D">
        <w:rPr>
          <w:rFonts w:ascii="Times New Roman" w:hAnsi="Times New Roman"/>
        </w:rPr>
        <w:t xml:space="preserve"> agrícola</w:t>
      </w:r>
      <w:r w:rsidR="00C609C6">
        <w:rPr>
          <w:rFonts w:ascii="Times New Roman" w:hAnsi="Times New Roman"/>
        </w:rPr>
        <w:t xml:space="preserve"> </w:t>
      </w:r>
      <w:r>
        <w:rPr>
          <w:rFonts w:ascii="Times New Roman" w:hAnsi="Times New Roman"/>
        </w:rPr>
        <w:t xml:space="preserve">que se desembarca </w:t>
      </w:r>
      <w:r w:rsidR="00F9764B">
        <w:rPr>
          <w:rFonts w:ascii="Times New Roman" w:hAnsi="Times New Roman"/>
        </w:rPr>
        <w:t>en</w:t>
      </w:r>
      <w:r w:rsidR="00112C2D">
        <w:rPr>
          <w:rFonts w:ascii="Times New Roman" w:hAnsi="Times New Roman"/>
        </w:rPr>
        <w:t xml:space="preserve"> cada una de las áreas</w:t>
      </w:r>
      <w:r w:rsidR="00F9764B">
        <w:rPr>
          <w:rFonts w:ascii="Times New Roman" w:hAnsi="Times New Roman"/>
        </w:rPr>
        <w:t xml:space="preserve"> </w:t>
      </w:r>
      <w:r w:rsidR="004F68C8">
        <w:rPr>
          <w:rFonts w:ascii="Times New Roman" w:hAnsi="Times New Roman"/>
        </w:rPr>
        <w:t xml:space="preserve">referidas </w:t>
      </w:r>
      <w:r w:rsidR="00F9764B">
        <w:rPr>
          <w:rFonts w:ascii="Times New Roman" w:hAnsi="Times New Roman"/>
        </w:rPr>
        <w:t xml:space="preserve">en su respuesta al inciso </w:t>
      </w:r>
      <w:r w:rsidR="00112C2D">
        <w:rPr>
          <w:rFonts w:ascii="Times New Roman" w:hAnsi="Times New Roman"/>
        </w:rPr>
        <w:t>anterior</w:t>
      </w:r>
      <w:r w:rsidR="00F9764B">
        <w:rPr>
          <w:rFonts w:ascii="Times New Roman" w:hAnsi="Times New Roman"/>
        </w:rPr>
        <w:t xml:space="preserve">, </w:t>
      </w:r>
      <w:r>
        <w:rPr>
          <w:rFonts w:ascii="Times New Roman" w:hAnsi="Times New Roman"/>
        </w:rPr>
        <w:t xml:space="preserve">señalar los lugares de origen y destino </w:t>
      </w:r>
      <w:r w:rsidR="00F9764B">
        <w:rPr>
          <w:rFonts w:ascii="Times New Roman" w:hAnsi="Times New Roman"/>
        </w:rPr>
        <w:t xml:space="preserve">de cada </w:t>
      </w:r>
      <w:r w:rsidR="00112C2D">
        <w:rPr>
          <w:rFonts w:ascii="Times New Roman" w:hAnsi="Times New Roman"/>
        </w:rPr>
        <w:t>producto</w:t>
      </w:r>
      <w:r w:rsidR="00F9764B">
        <w:rPr>
          <w:rFonts w:ascii="Times New Roman" w:hAnsi="Times New Roman"/>
        </w:rPr>
        <w:t xml:space="preserve"> </w:t>
      </w:r>
      <w:r>
        <w:rPr>
          <w:rFonts w:ascii="Times New Roman" w:hAnsi="Times New Roman"/>
        </w:rPr>
        <w:t xml:space="preserve">(por municipio y estado de la República o país, según corresponda), el volumen anual </w:t>
      </w:r>
      <w:r w:rsidR="00112C2D">
        <w:rPr>
          <w:rFonts w:ascii="Times New Roman" w:hAnsi="Times New Roman"/>
        </w:rPr>
        <w:t xml:space="preserve">(señalar </w:t>
      </w:r>
      <w:r w:rsidR="009253B5">
        <w:rPr>
          <w:rFonts w:ascii="Times New Roman" w:hAnsi="Times New Roman"/>
        </w:rPr>
        <w:t>la unidad de medida</w:t>
      </w:r>
      <w:r w:rsidR="00355496">
        <w:rPr>
          <w:rFonts w:ascii="Times New Roman" w:hAnsi="Times New Roman"/>
        </w:rPr>
        <w:t>)</w:t>
      </w:r>
      <w:r w:rsidR="009253B5">
        <w:rPr>
          <w:rFonts w:ascii="Times New Roman" w:hAnsi="Times New Roman"/>
        </w:rPr>
        <w:t xml:space="preserve"> </w:t>
      </w:r>
      <w:r w:rsidR="000623FC">
        <w:rPr>
          <w:rFonts w:ascii="Times New Roman" w:hAnsi="Times New Roman"/>
        </w:rPr>
        <w:t>para el periodo 2014</w:t>
      </w:r>
      <w:r>
        <w:rPr>
          <w:rFonts w:ascii="Times New Roman" w:hAnsi="Times New Roman"/>
        </w:rPr>
        <w:t>-2016</w:t>
      </w:r>
      <w:r w:rsidR="00112C2D">
        <w:rPr>
          <w:rFonts w:ascii="Times New Roman" w:hAnsi="Times New Roman"/>
        </w:rPr>
        <w:t>)</w:t>
      </w:r>
      <w:r>
        <w:rPr>
          <w:rFonts w:ascii="Times New Roman" w:hAnsi="Times New Roman"/>
        </w:rPr>
        <w:t xml:space="preserve">, </w:t>
      </w:r>
      <w:r w:rsidR="004F68C8">
        <w:rPr>
          <w:rFonts w:ascii="Times New Roman" w:hAnsi="Times New Roman"/>
        </w:rPr>
        <w:t xml:space="preserve">y </w:t>
      </w:r>
      <w:r w:rsidR="008421F1">
        <w:rPr>
          <w:rFonts w:ascii="Times New Roman" w:hAnsi="Times New Roman"/>
        </w:rPr>
        <w:t>desglosar por cada</w:t>
      </w:r>
      <w:r>
        <w:rPr>
          <w:rFonts w:ascii="Times New Roman" w:hAnsi="Times New Roman"/>
        </w:rPr>
        <w:t xml:space="preserve"> medio de transporte que utilizan para trasladar los bienes.</w:t>
      </w:r>
    </w:p>
    <w:p w:rsidR="006129D5" w:rsidRDefault="000623FC" w:rsidP="000623FC">
      <w:pPr>
        <w:pStyle w:val="Sangradetextonormal"/>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p>
    <w:p w:rsidR="0099486E" w:rsidRDefault="0099486E" w:rsidP="000623FC">
      <w:pPr>
        <w:pStyle w:val="Sangradetextonormal"/>
        <w:ind w:left="993" w:firstLine="0"/>
        <w:rPr>
          <w:rFonts w:ascii="Times New Roman" w:hAnsi="Times New Roman"/>
        </w:rPr>
      </w:pPr>
    </w:p>
    <w:p w:rsidR="006129D5" w:rsidRDefault="006129D5" w:rsidP="00016E42">
      <w:pPr>
        <w:spacing w:after="40"/>
        <w:ind w:left="567"/>
      </w:pPr>
      <w:r>
        <w:rPr>
          <w:b/>
          <w:sz w:val="20"/>
          <w:szCs w:val="20"/>
        </w:rPr>
        <w:t>Indicar Terminal, Instalación o áreas de uso común y puerto____</w:t>
      </w:r>
      <w:r w:rsidR="00016E42">
        <w:rPr>
          <w:b/>
          <w:sz w:val="20"/>
          <w:szCs w:val="20"/>
        </w:rPr>
        <w:t>_________________________</w:t>
      </w:r>
      <w:r>
        <w:rPr>
          <w:b/>
          <w:sz w:val="20"/>
          <w:szCs w:val="20"/>
        </w:rPr>
        <w:br/>
        <w:t>Año: _____</w:t>
      </w:r>
    </w:p>
    <w:tbl>
      <w:tblPr>
        <w:tblStyle w:val="Tablaconcuadrcula"/>
        <w:tblW w:w="8789" w:type="dxa"/>
        <w:tblInd w:w="704" w:type="dxa"/>
        <w:tblLook w:val="04A0" w:firstRow="1" w:lastRow="0" w:firstColumn="1" w:lastColumn="0" w:noHBand="0" w:noVBand="1"/>
      </w:tblPr>
      <w:tblGrid>
        <w:gridCol w:w="1559"/>
        <w:gridCol w:w="2268"/>
        <w:gridCol w:w="1276"/>
        <w:gridCol w:w="2268"/>
        <w:gridCol w:w="1418"/>
      </w:tblGrid>
      <w:tr w:rsidR="00016E42" w:rsidRPr="00CD2E07" w:rsidTr="00162D97">
        <w:tc>
          <w:tcPr>
            <w:tcW w:w="1559"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2268" w:type="dxa"/>
            <w:shd w:val="clear" w:color="auto" w:fill="D9D9D9" w:themeFill="background1" w:themeFillShade="D9"/>
            <w:vAlign w:val="center"/>
          </w:tcPr>
          <w:p w:rsidR="00016E42" w:rsidRPr="00CD2E07" w:rsidRDefault="00016E42" w:rsidP="00016E4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 (</w:t>
            </w:r>
            <w:r w:rsidRPr="00CD2E07">
              <w:rPr>
                <w:rFonts w:ascii="Times New Roman" w:hAnsi="Times New Roman"/>
                <w:b/>
                <w:sz w:val="20"/>
                <w:szCs w:val="20"/>
              </w:rPr>
              <w:t>municipio</w:t>
            </w:r>
            <w:r>
              <w:rPr>
                <w:rFonts w:ascii="Times New Roman" w:hAnsi="Times New Roman"/>
                <w:b/>
                <w:sz w:val="20"/>
                <w:szCs w:val="20"/>
              </w:rPr>
              <w:t xml:space="preserve"> y estado</w:t>
            </w:r>
            <w:r w:rsidR="00162D97">
              <w:rPr>
                <w:rFonts w:ascii="Times New Roman" w:hAnsi="Times New Roman"/>
                <w:b/>
                <w:sz w:val="20"/>
                <w:szCs w:val="20"/>
              </w:rPr>
              <w:t xml:space="preserve"> de la República o país</w:t>
            </w:r>
            <w:r>
              <w:rPr>
                <w:rFonts w:ascii="Times New Roman" w:hAnsi="Times New Roman"/>
                <w:b/>
                <w:sz w:val="20"/>
                <w:szCs w:val="20"/>
              </w:rPr>
              <w:t>)</w:t>
            </w:r>
          </w:p>
        </w:tc>
        <w:tc>
          <w:tcPr>
            <w:tcW w:w="1276"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Volumen y unidad de medida </w:t>
            </w:r>
          </w:p>
        </w:tc>
        <w:tc>
          <w:tcPr>
            <w:tcW w:w="2268"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Origen </w:t>
            </w:r>
            <w:r w:rsidRPr="00CD2E07">
              <w:rPr>
                <w:rFonts w:ascii="Times New Roman" w:hAnsi="Times New Roman"/>
                <w:b/>
                <w:sz w:val="20"/>
                <w:szCs w:val="20"/>
              </w:rPr>
              <w:t xml:space="preserve">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418" w:type="dxa"/>
            <w:shd w:val="clear" w:color="auto" w:fill="D9D9D9" w:themeFill="background1" w:themeFillShade="D9"/>
            <w:vAlign w:val="center"/>
          </w:tcPr>
          <w:p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016E42" w:rsidRPr="00CD2E07" w:rsidTr="00162D97">
        <w:tc>
          <w:tcPr>
            <w:tcW w:w="1559" w:type="dxa"/>
          </w:tcPr>
          <w:p w:rsidR="00016E42" w:rsidRPr="00CD2E07" w:rsidRDefault="00112C2D" w:rsidP="00F9764B">
            <w:pPr>
              <w:pStyle w:val="Sangradetextonormal"/>
              <w:spacing w:after="0"/>
              <w:ind w:left="0" w:firstLine="0"/>
              <w:jc w:val="left"/>
              <w:rPr>
                <w:rFonts w:ascii="Times New Roman" w:hAnsi="Times New Roman"/>
                <w:sz w:val="20"/>
                <w:szCs w:val="20"/>
              </w:rPr>
            </w:pPr>
            <w:r>
              <w:rPr>
                <w:rFonts w:ascii="Times New Roman" w:hAnsi="Times New Roman"/>
                <w:sz w:val="20"/>
                <w:szCs w:val="20"/>
              </w:rPr>
              <w:t>Trigo</w:t>
            </w: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rsidTr="00162D97">
        <w:tc>
          <w:tcPr>
            <w:tcW w:w="1559" w:type="dxa"/>
          </w:tcPr>
          <w:p w:rsidR="00016E42" w:rsidRPr="00CD2E07"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Maíz</w:t>
            </w: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rsidTr="00162D97">
        <w:tc>
          <w:tcPr>
            <w:tcW w:w="1559" w:type="dxa"/>
          </w:tcPr>
          <w:p w:rsidR="00016E42" w:rsidRPr="00CD2E07"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Sorgo</w:t>
            </w: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rsidR="00016E42" w:rsidRPr="00CD2E07" w:rsidRDefault="00016E42" w:rsidP="00B27A72">
            <w:pPr>
              <w:pStyle w:val="Sangradetextonormal"/>
              <w:spacing w:after="0"/>
              <w:ind w:left="0" w:firstLine="0"/>
              <w:jc w:val="left"/>
              <w:rPr>
                <w:rFonts w:ascii="Times New Roman" w:hAnsi="Times New Roman"/>
                <w:sz w:val="20"/>
                <w:szCs w:val="20"/>
              </w:rPr>
            </w:pPr>
          </w:p>
        </w:tc>
      </w:tr>
      <w:tr w:rsidR="00112C2D" w:rsidRPr="00CD2E07" w:rsidTr="00162D97">
        <w:tc>
          <w:tcPr>
            <w:tcW w:w="1559" w:type="dxa"/>
          </w:tcPr>
          <w:p w:rsidR="00112C2D"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Cártamo</w:t>
            </w: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276"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418" w:type="dxa"/>
          </w:tcPr>
          <w:p w:rsidR="00112C2D" w:rsidRDefault="00112C2D" w:rsidP="00B27A72">
            <w:pPr>
              <w:pStyle w:val="Sangradetextonormal"/>
              <w:spacing w:after="0"/>
              <w:ind w:left="0" w:firstLine="0"/>
              <w:jc w:val="left"/>
              <w:rPr>
                <w:rFonts w:ascii="Times New Roman" w:hAnsi="Times New Roman"/>
                <w:sz w:val="20"/>
                <w:szCs w:val="20"/>
              </w:rPr>
            </w:pPr>
          </w:p>
        </w:tc>
      </w:tr>
      <w:tr w:rsidR="00112C2D" w:rsidRPr="00CD2E07" w:rsidTr="00162D97">
        <w:tc>
          <w:tcPr>
            <w:tcW w:w="1559" w:type="dxa"/>
          </w:tcPr>
          <w:p w:rsidR="00112C2D" w:rsidRDefault="00112C2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276"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226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1418" w:type="dxa"/>
          </w:tcPr>
          <w:p w:rsidR="00112C2D" w:rsidRPr="00CD2E07" w:rsidRDefault="00112C2D" w:rsidP="00B27A72">
            <w:pPr>
              <w:pStyle w:val="Sangradetextonormal"/>
              <w:spacing w:after="0"/>
              <w:ind w:left="0" w:firstLine="0"/>
              <w:jc w:val="left"/>
              <w:rPr>
                <w:rFonts w:ascii="Times New Roman" w:hAnsi="Times New Roman"/>
                <w:sz w:val="20"/>
                <w:szCs w:val="20"/>
              </w:rPr>
            </w:pPr>
          </w:p>
        </w:tc>
      </w:tr>
      <w:tr w:rsidR="00112C2D" w:rsidRPr="00CD2E07" w:rsidTr="00162D97">
        <w:tc>
          <w:tcPr>
            <w:tcW w:w="1559" w:type="dxa"/>
          </w:tcPr>
          <w:p w:rsidR="00112C2D" w:rsidRPr="00112C2D" w:rsidRDefault="00112C2D" w:rsidP="00112C2D">
            <w:pPr>
              <w:pStyle w:val="Sangradetextonormal"/>
              <w:spacing w:after="0"/>
              <w:ind w:left="0" w:firstLine="0"/>
              <w:jc w:val="left"/>
              <w:rPr>
                <w:rFonts w:ascii="Times New Roman" w:hAnsi="Times New Roman"/>
                <w:sz w:val="20"/>
                <w:szCs w:val="20"/>
              </w:rPr>
            </w:pPr>
            <w:r w:rsidRPr="00112C2D">
              <w:rPr>
                <w:rFonts w:ascii="Times New Roman" w:hAnsi="Times New Roman"/>
                <w:sz w:val="20"/>
                <w:szCs w:val="20"/>
              </w:rPr>
              <w:t>Etc.</w:t>
            </w:r>
          </w:p>
        </w:tc>
        <w:tc>
          <w:tcPr>
            <w:tcW w:w="2268" w:type="dxa"/>
          </w:tcPr>
          <w:p w:rsidR="00112C2D" w:rsidRDefault="00112C2D" w:rsidP="00B27A72">
            <w:pPr>
              <w:pStyle w:val="Sangradetextonormal"/>
              <w:spacing w:after="0"/>
              <w:ind w:left="0" w:firstLine="0"/>
              <w:jc w:val="center"/>
              <w:rPr>
                <w:rFonts w:ascii="Times New Roman" w:hAnsi="Times New Roman"/>
                <w:sz w:val="20"/>
                <w:szCs w:val="20"/>
              </w:rPr>
            </w:pPr>
          </w:p>
        </w:tc>
        <w:tc>
          <w:tcPr>
            <w:tcW w:w="1276" w:type="dxa"/>
          </w:tcPr>
          <w:p w:rsidR="00112C2D" w:rsidRPr="00CD2E07" w:rsidRDefault="00112C2D" w:rsidP="00B27A72">
            <w:pPr>
              <w:pStyle w:val="Sangradetextonormal"/>
              <w:spacing w:after="0"/>
              <w:ind w:left="0" w:firstLine="0"/>
              <w:jc w:val="left"/>
              <w:rPr>
                <w:rFonts w:ascii="Times New Roman" w:hAnsi="Times New Roman"/>
                <w:sz w:val="20"/>
                <w:szCs w:val="20"/>
              </w:rPr>
            </w:pPr>
          </w:p>
        </w:tc>
        <w:tc>
          <w:tcPr>
            <w:tcW w:w="2268" w:type="dxa"/>
          </w:tcPr>
          <w:p w:rsidR="00112C2D" w:rsidRDefault="00112C2D" w:rsidP="00B27A72">
            <w:pPr>
              <w:pStyle w:val="Sangradetextonormal"/>
              <w:spacing w:after="0"/>
              <w:ind w:left="0" w:firstLine="0"/>
              <w:jc w:val="center"/>
              <w:rPr>
                <w:rFonts w:ascii="Times New Roman" w:hAnsi="Times New Roman"/>
                <w:sz w:val="20"/>
                <w:szCs w:val="20"/>
              </w:rPr>
            </w:pPr>
          </w:p>
        </w:tc>
        <w:tc>
          <w:tcPr>
            <w:tcW w:w="1418" w:type="dxa"/>
          </w:tcPr>
          <w:p w:rsidR="00112C2D" w:rsidRDefault="00112C2D" w:rsidP="00B27A72">
            <w:pPr>
              <w:pStyle w:val="Sangradetextonormal"/>
              <w:spacing w:after="0"/>
              <w:ind w:left="0" w:firstLine="0"/>
              <w:jc w:val="center"/>
              <w:rPr>
                <w:rFonts w:ascii="Times New Roman" w:hAnsi="Times New Roman"/>
                <w:sz w:val="20"/>
                <w:szCs w:val="20"/>
              </w:rPr>
            </w:pPr>
          </w:p>
        </w:tc>
      </w:tr>
      <w:tr w:rsidR="00016E42" w:rsidRPr="00CD2E07" w:rsidTr="00162D97">
        <w:tc>
          <w:tcPr>
            <w:tcW w:w="1559" w:type="dxa"/>
          </w:tcPr>
          <w:p w:rsidR="00016E42" w:rsidRPr="00CD2E07" w:rsidRDefault="00016E42" w:rsidP="00B27A7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2268" w:type="dxa"/>
          </w:tcPr>
          <w:p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6129D5" w:rsidRPr="002210F1" w:rsidRDefault="006129D5" w:rsidP="006129D5">
      <w:pPr>
        <w:pStyle w:val="Sangradetextonormal"/>
        <w:ind w:left="567" w:firstLine="0"/>
        <w:rPr>
          <w:rFonts w:ascii="Times New Roman" w:hAnsi="Times New Roman"/>
          <w:sz w:val="20"/>
          <w:szCs w:val="20"/>
        </w:rPr>
      </w:pPr>
    </w:p>
    <w:p w:rsidR="006129D5" w:rsidRDefault="006129D5" w:rsidP="006129D5">
      <w:pPr>
        <w:pStyle w:val="Sangradetextonormal"/>
        <w:numPr>
          <w:ilvl w:val="0"/>
          <w:numId w:val="10"/>
        </w:numPr>
        <w:spacing w:after="160"/>
        <w:ind w:left="993" w:hanging="437"/>
        <w:rPr>
          <w:rFonts w:ascii="Times New Roman" w:hAnsi="Times New Roman"/>
        </w:rPr>
      </w:pPr>
      <w:r>
        <w:rPr>
          <w:rFonts w:ascii="Times New Roman" w:hAnsi="Times New Roman"/>
        </w:rPr>
        <w:t xml:space="preserve">Para </w:t>
      </w:r>
      <w:r w:rsidR="00CF1AA8">
        <w:rPr>
          <w:rFonts w:ascii="Times New Roman" w:hAnsi="Times New Roman"/>
        </w:rPr>
        <w:t xml:space="preserve">los </w:t>
      </w:r>
      <w:r w:rsidR="00355496">
        <w:rPr>
          <w:rFonts w:ascii="Times New Roman" w:hAnsi="Times New Roman"/>
        </w:rPr>
        <w:t>distintos tipo</w:t>
      </w:r>
      <w:r w:rsidR="00162D97">
        <w:rPr>
          <w:rFonts w:ascii="Times New Roman" w:hAnsi="Times New Roman"/>
        </w:rPr>
        <w:t>s</w:t>
      </w:r>
      <w:r w:rsidR="00355496">
        <w:rPr>
          <w:rFonts w:ascii="Times New Roman" w:hAnsi="Times New Roman"/>
        </w:rPr>
        <w:t xml:space="preserve"> de </w:t>
      </w:r>
      <w:r w:rsidR="00B66E56">
        <w:rPr>
          <w:rFonts w:ascii="Times New Roman" w:hAnsi="Times New Roman"/>
        </w:rPr>
        <w:t xml:space="preserve">productos agrícolas a </w:t>
      </w:r>
      <w:r w:rsidR="00355496">
        <w:rPr>
          <w:rFonts w:ascii="Times New Roman" w:hAnsi="Times New Roman"/>
        </w:rPr>
        <w:t>granel</w:t>
      </w:r>
      <w:r w:rsidR="00CF1AA8">
        <w:rPr>
          <w:rFonts w:ascii="Times New Roman" w:hAnsi="Times New Roman"/>
        </w:rPr>
        <w:t xml:space="preserve"> </w:t>
      </w:r>
      <w:r>
        <w:rPr>
          <w:rFonts w:ascii="Times New Roman" w:hAnsi="Times New Roman"/>
        </w:rPr>
        <w:t>que se embarcan</w:t>
      </w:r>
      <w:r w:rsidR="00016E42">
        <w:rPr>
          <w:rFonts w:ascii="Times New Roman" w:hAnsi="Times New Roman"/>
        </w:rPr>
        <w:t xml:space="preserve"> en </w:t>
      </w:r>
      <w:r w:rsidR="00E1353E">
        <w:rPr>
          <w:rFonts w:ascii="Times New Roman" w:hAnsi="Times New Roman"/>
        </w:rPr>
        <w:t xml:space="preserve">cada una de </w:t>
      </w:r>
      <w:r w:rsidR="00016E42">
        <w:rPr>
          <w:rFonts w:ascii="Times New Roman" w:hAnsi="Times New Roman"/>
        </w:rPr>
        <w:t>las áreas señaladas en su respuesta al inciso i) de esta pregunta</w:t>
      </w:r>
      <w:r>
        <w:rPr>
          <w:rFonts w:ascii="Times New Roman" w:hAnsi="Times New Roman"/>
        </w:rPr>
        <w:t xml:space="preserve">, señalar el lugar de origen y destino (por municipio y estado de la República o país de origen, según corresponda), el volumen anual manejado </w:t>
      </w:r>
      <w:r w:rsidR="00E1353E">
        <w:rPr>
          <w:rFonts w:ascii="Times New Roman" w:hAnsi="Times New Roman"/>
        </w:rPr>
        <w:t>(señalar unidad de medida)</w:t>
      </w:r>
      <w:r w:rsidR="005D6540">
        <w:rPr>
          <w:rFonts w:ascii="Times New Roman" w:hAnsi="Times New Roman"/>
        </w:rPr>
        <w:t xml:space="preserve"> </w:t>
      </w:r>
      <w:r w:rsidR="000623FC">
        <w:rPr>
          <w:rFonts w:ascii="Times New Roman" w:hAnsi="Times New Roman"/>
        </w:rPr>
        <w:t>para el periodo 2014</w:t>
      </w:r>
      <w:r>
        <w:rPr>
          <w:rFonts w:ascii="Times New Roman" w:hAnsi="Times New Roman"/>
        </w:rPr>
        <w:t>-2016</w:t>
      </w:r>
      <w:r w:rsidR="007B4129">
        <w:rPr>
          <w:rFonts w:ascii="Times New Roman" w:hAnsi="Times New Roman"/>
        </w:rPr>
        <w:t>,</w:t>
      </w:r>
      <w:r>
        <w:rPr>
          <w:rFonts w:ascii="Times New Roman" w:hAnsi="Times New Roman"/>
        </w:rPr>
        <w:t xml:space="preserve"> y </w:t>
      </w:r>
      <w:r w:rsidR="008421F1">
        <w:rPr>
          <w:rFonts w:ascii="Times New Roman" w:hAnsi="Times New Roman"/>
        </w:rPr>
        <w:t>desglosar cada</w:t>
      </w:r>
      <w:r>
        <w:rPr>
          <w:rFonts w:ascii="Times New Roman" w:hAnsi="Times New Roman"/>
        </w:rPr>
        <w:t xml:space="preserve"> medio de transporte que utilizan para trasladar los bienes. </w:t>
      </w:r>
      <w:r w:rsidR="000623FC">
        <w:rPr>
          <w:rFonts w:ascii="Times New Roman" w:hAnsi="Times New Roman"/>
        </w:rPr>
        <w:t>Sírvase utilizar el siguiente cuadro para cada año del periodo, por cada terminal, instalación o contrato de maniobras u otro tipo de autorización:</w:t>
      </w:r>
    </w:p>
    <w:p w:rsidR="006129D5" w:rsidRDefault="006129D5" w:rsidP="007B4129">
      <w:pPr>
        <w:spacing w:after="40"/>
        <w:ind w:left="567"/>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9553" w:type="dxa"/>
        <w:tblInd w:w="279" w:type="dxa"/>
        <w:tblLook w:val="04A0" w:firstRow="1" w:lastRow="0" w:firstColumn="1" w:lastColumn="0" w:noHBand="0" w:noVBand="1"/>
      </w:tblPr>
      <w:tblGrid>
        <w:gridCol w:w="1535"/>
        <w:gridCol w:w="2225"/>
        <w:gridCol w:w="1116"/>
        <w:gridCol w:w="1265"/>
        <w:gridCol w:w="2225"/>
        <w:gridCol w:w="1187"/>
      </w:tblGrid>
      <w:tr w:rsidR="007B4129" w:rsidRPr="00CD2E07" w:rsidTr="00162D97">
        <w:tc>
          <w:tcPr>
            <w:tcW w:w="1559"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2268"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r w:rsidR="00162D97">
              <w:rPr>
                <w:rFonts w:ascii="Times New Roman" w:hAnsi="Times New Roman"/>
                <w:b/>
                <w:sz w:val="20"/>
                <w:szCs w:val="20"/>
              </w:rPr>
              <w:t xml:space="preserve"> de la República</w:t>
            </w:r>
            <w:r>
              <w:rPr>
                <w:rFonts w:ascii="Times New Roman" w:hAnsi="Times New Roman"/>
                <w:b/>
                <w:sz w:val="20"/>
                <w:szCs w:val="20"/>
              </w:rPr>
              <w:t xml:space="preserve"> o país)</w:t>
            </w:r>
          </w:p>
        </w:tc>
        <w:tc>
          <w:tcPr>
            <w:tcW w:w="992"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276"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190" w:type="dxa"/>
            <w:shd w:val="clear" w:color="auto" w:fill="D9D9D9" w:themeFill="background1" w:themeFillShade="D9"/>
            <w:vAlign w:val="center"/>
          </w:tcPr>
          <w:p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1353E" w:rsidRPr="00CD2E07" w:rsidTr="00162D97">
        <w:tc>
          <w:tcPr>
            <w:tcW w:w="1559" w:type="dxa"/>
          </w:tcPr>
          <w:p w:rsidR="00E1353E" w:rsidRPr="00CD2E07"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Trigo</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Pr="00CD2E07"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Maíz</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Pr="00CD2E07"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Sorgo</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Cártamo</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Default="00E1353E" w:rsidP="00E1353E">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Default="00E1353E" w:rsidP="00E1353E">
            <w:pPr>
              <w:pStyle w:val="Sangradetextonormal"/>
              <w:spacing w:after="0"/>
              <w:ind w:left="0" w:firstLine="0"/>
              <w:jc w:val="left"/>
              <w:rPr>
                <w:rFonts w:ascii="Times New Roman" w:hAnsi="Times New Roman"/>
                <w:sz w:val="20"/>
                <w:szCs w:val="20"/>
              </w:rPr>
            </w:pPr>
          </w:p>
        </w:tc>
      </w:tr>
      <w:tr w:rsidR="00E1353E" w:rsidRPr="00CD2E07" w:rsidTr="00162D97">
        <w:tc>
          <w:tcPr>
            <w:tcW w:w="1559" w:type="dxa"/>
          </w:tcPr>
          <w:p w:rsidR="00E1353E" w:rsidRDefault="00E1353E" w:rsidP="00E1353E">
            <w:pPr>
              <w:pStyle w:val="Sangradetextonormal"/>
              <w:spacing w:after="0"/>
              <w:ind w:left="0" w:firstLine="0"/>
              <w:jc w:val="left"/>
              <w:rPr>
                <w:rFonts w:ascii="Times New Roman" w:hAnsi="Times New Roman"/>
                <w:sz w:val="20"/>
                <w:szCs w:val="20"/>
              </w:rPr>
            </w:pPr>
            <w:r w:rsidRPr="00112C2D">
              <w:rPr>
                <w:rFonts w:ascii="Times New Roman" w:hAnsi="Times New Roman"/>
                <w:sz w:val="20"/>
                <w:szCs w:val="20"/>
              </w:rPr>
              <w:t>Etc.</w:t>
            </w: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992"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276"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2268" w:type="dxa"/>
          </w:tcPr>
          <w:p w:rsidR="00E1353E" w:rsidRPr="00CD2E07" w:rsidRDefault="00E1353E" w:rsidP="00E1353E">
            <w:pPr>
              <w:pStyle w:val="Sangradetextonormal"/>
              <w:spacing w:after="0"/>
              <w:ind w:left="0" w:firstLine="0"/>
              <w:jc w:val="left"/>
              <w:rPr>
                <w:rFonts w:ascii="Times New Roman" w:hAnsi="Times New Roman"/>
                <w:sz w:val="20"/>
                <w:szCs w:val="20"/>
              </w:rPr>
            </w:pPr>
          </w:p>
        </w:tc>
        <w:tc>
          <w:tcPr>
            <w:tcW w:w="1190" w:type="dxa"/>
          </w:tcPr>
          <w:p w:rsidR="00E1353E" w:rsidRPr="00CD2E07" w:rsidRDefault="00E1353E" w:rsidP="00E1353E">
            <w:pPr>
              <w:pStyle w:val="Sangradetextonormal"/>
              <w:spacing w:after="0"/>
              <w:ind w:left="0" w:firstLine="0"/>
              <w:jc w:val="left"/>
              <w:rPr>
                <w:rFonts w:ascii="Times New Roman" w:hAnsi="Times New Roman"/>
                <w:sz w:val="20"/>
                <w:szCs w:val="20"/>
              </w:rPr>
            </w:pPr>
          </w:p>
        </w:tc>
      </w:tr>
      <w:tr w:rsidR="007B4129" w:rsidRPr="00CD2E07" w:rsidTr="00162D97">
        <w:tc>
          <w:tcPr>
            <w:tcW w:w="1559" w:type="dxa"/>
          </w:tcPr>
          <w:p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2268"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992"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7B4129" w:rsidRPr="00CD2E07" w:rsidRDefault="007B4129" w:rsidP="007B4129">
            <w:pPr>
              <w:pStyle w:val="Sangradetextonormal"/>
              <w:spacing w:after="0"/>
              <w:ind w:left="0" w:firstLine="0"/>
              <w:jc w:val="left"/>
              <w:rPr>
                <w:rFonts w:ascii="Times New Roman" w:hAnsi="Times New Roman"/>
                <w:sz w:val="20"/>
                <w:szCs w:val="20"/>
              </w:rPr>
            </w:pPr>
          </w:p>
        </w:tc>
        <w:tc>
          <w:tcPr>
            <w:tcW w:w="2268"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90" w:type="dxa"/>
          </w:tcPr>
          <w:p w:rsidR="007B4129" w:rsidRPr="00CD2E07" w:rsidRDefault="007B4129" w:rsidP="007B4129">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6129D5" w:rsidRPr="00BE2E16" w:rsidRDefault="006129D5" w:rsidP="0018326A">
      <w:pPr>
        <w:pStyle w:val="Sangradetextonormal"/>
        <w:numPr>
          <w:ilvl w:val="0"/>
          <w:numId w:val="2"/>
        </w:numPr>
        <w:tabs>
          <w:tab w:val="clear" w:pos="2629"/>
          <w:tab w:val="num" w:pos="2269"/>
        </w:tabs>
        <w:spacing w:before="160" w:after="160"/>
        <w:ind w:left="426"/>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9253B5">
        <w:rPr>
          <w:rFonts w:ascii="Times New Roman" w:hAnsi="Times New Roman"/>
        </w:rPr>
        <w:t>,</w:t>
      </w:r>
      <w:r>
        <w:rPr>
          <w:rFonts w:ascii="Times New Roman" w:hAnsi="Times New Roman"/>
        </w:rPr>
        <w:t xml:space="preserve"> 5 </w:t>
      </w:r>
      <w:r w:rsidR="009C2DFD">
        <w:rPr>
          <w:rFonts w:ascii="Times New Roman" w:hAnsi="Times New Roman"/>
        </w:rPr>
        <w:t>y 6</w:t>
      </w:r>
      <w:r w:rsidR="009253B5">
        <w:rPr>
          <w:rFonts w:ascii="Times New Roman" w:hAnsi="Times New Roman"/>
        </w:rPr>
        <w:t xml:space="preserve">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E1353E">
        <w:rPr>
          <w:rFonts w:ascii="Times New Roman" w:hAnsi="Times New Roman"/>
        </w:rPr>
        <w:t xml:space="preserve">a las que llevará a cabo en la </w:t>
      </w:r>
      <w:r w:rsidR="00E1353E" w:rsidRPr="00E1353E">
        <w:rPr>
          <w:rFonts w:ascii="Times New Roman" w:hAnsi="Times New Roman"/>
          <w:smallCaps/>
        </w:rPr>
        <w:t>Instalación</w:t>
      </w:r>
      <w:r w:rsidR="00E1353E">
        <w:rPr>
          <w:rFonts w:ascii="Times New Roman" w:hAnsi="Times New Roman"/>
        </w:rPr>
        <w:t xml:space="preserve"> objeto del </w:t>
      </w:r>
      <w:r w:rsidR="00E1353E" w:rsidRPr="00E1353E">
        <w:rPr>
          <w:rFonts w:ascii="Times New Roman" w:hAnsi="Times New Roman"/>
          <w:smallCaps/>
        </w:rPr>
        <w:t>Concurso</w:t>
      </w:r>
      <w:r w:rsidR="00E1353E">
        <w:rPr>
          <w:rFonts w:ascii="Times New Roman" w:hAnsi="Times New Roman"/>
        </w:rPr>
        <w:t xml:space="preserve"> en </w:t>
      </w:r>
      <w:r>
        <w:rPr>
          <w:rFonts w:ascii="Times New Roman" w:hAnsi="Times New Roman"/>
        </w:rPr>
        <w:t xml:space="preserve">puertos del país, </w:t>
      </w:r>
      <w:r w:rsidR="007B4129">
        <w:rPr>
          <w:rFonts w:ascii="Times New Roman" w:hAnsi="Times New Roman"/>
        </w:rPr>
        <w:t xml:space="preserve">incluido el Puerto de </w:t>
      </w:r>
      <w:r w:rsidR="00E1353E">
        <w:rPr>
          <w:rFonts w:ascii="Times New Roman" w:hAnsi="Times New Roman"/>
        </w:rPr>
        <w:t>Guaymas</w:t>
      </w:r>
      <w:r w:rsidR="00B66E56">
        <w:rPr>
          <w:rFonts w:ascii="Times New Roman" w:hAnsi="Times New Roman"/>
        </w:rPr>
        <w:t xml:space="preserve">, o participa en coinversiones con el mismo objeto, </w:t>
      </w:r>
      <w:r>
        <w:rPr>
          <w:rFonts w:ascii="Times New Roman" w:hAnsi="Times New Roman"/>
        </w:rPr>
        <w:t>deberá responder, para cada uno, toda la información s</w:t>
      </w:r>
      <w:r w:rsidR="00297F8A">
        <w:rPr>
          <w:rFonts w:ascii="Times New Roman" w:hAnsi="Times New Roman"/>
        </w:rPr>
        <w:t>eñalada en el numeral anterior.</w:t>
      </w:r>
    </w:p>
    <w:p w:rsidR="006129D5" w:rsidRDefault="006129D5" w:rsidP="0018326A">
      <w:pPr>
        <w:pStyle w:val="Sangradetextonormal"/>
        <w:numPr>
          <w:ilvl w:val="0"/>
          <w:numId w:val="2"/>
        </w:numPr>
        <w:tabs>
          <w:tab w:val="clear" w:pos="2629"/>
          <w:tab w:val="num" w:pos="2269"/>
        </w:tabs>
        <w:spacing w:after="160"/>
        <w:ind w:left="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4F7C8D">
        <w:rPr>
          <w:rFonts w:ascii="Times New Roman" w:hAnsi="Times New Roman"/>
        </w:rPr>
        <w:t xml:space="preserve">tienen intereses accionarios y o de negocios con alguna línea naviera, </w:t>
      </w:r>
      <w:r>
        <w:rPr>
          <w:rFonts w:ascii="Times New Roman" w:hAnsi="Times New Roman"/>
        </w:rPr>
        <w:t>por sí mismo</w:t>
      </w:r>
      <w:r w:rsidR="008B302B">
        <w:rPr>
          <w:rFonts w:ascii="Times New Roman" w:hAnsi="Times New Roman"/>
        </w:rPr>
        <w:t>s</w:t>
      </w:r>
      <w:r>
        <w:rPr>
          <w:rFonts w:ascii="Times New Roman" w:hAnsi="Times New Roman"/>
        </w:rPr>
        <w:t xml:space="preserve"> o a través de sus accionistas directos o indirectos, subsidiarias, filiales o empresas relacionadas</w:t>
      </w:r>
      <w:r w:rsidR="004F7C8D">
        <w:rPr>
          <w:rFonts w:ascii="Times New Roman" w:hAnsi="Times New Roman"/>
        </w:rPr>
        <w:t>,</w:t>
      </w:r>
      <w:r>
        <w:rPr>
          <w:rFonts w:ascii="Times New Roman" w:hAnsi="Times New Roman"/>
        </w:rPr>
        <w:t xml:space="preserve">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9F68A5">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sidR="009F68A5">
        <w:rPr>
          <w:rFonts w:ascii="Times New Roman" w:hAnsi="Times New Roman"/>
        </w:rPr>
        <w:t xml:space="preserve"> el tipo de carga que manejan.</w:t>
      </w:r>
    </w:p>
    <w:p w:rsidR="00467D42" w:rsidRDefault="00467D42"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Identificar a los clientes que prevé atender en la </w:t>
      </w:r>
      <w:r w:rsidR="009F5742">
        <w:rPr>
          <w:rFonts w:ascii="Times New Roman" w:hAnsi="Times New Roman"/>
          <w:smallCaps/>
        </w:rPr>
        <w:t>Instalación</w:t>
      </w:r>
      <w:r w:rsidRPr="00BE2E16">
        <w:rPr>
          <w:rFonts w:ascii="Times New Roman" w:hAnsi="Times New Roman"/>
        </w:rPr>
        <w:t xml:space="preserve"> 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0045253B">
        <w:rPr>
          <w:rFonts w:ascii="Times New Roman" w:hAnsi="Times New Roman"/>
        </w:rPr>
        <w:t>.</w:t>
      </w:r>
    </w:p>
    <w:p w:rsidR="00467D42" w:rsidRDefault="00467D42"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 conectan </w:t>
      </w:r>
      <w:r w:rsidRPr="00BE2E16">
        <w:rPr>
          <w:rFonts w:ascii="Times New Roman" w:hAnsi="Times New Roman"/>
        </w:rPr>
        <w:t>podrían constituir una alternativa</w:t>
      </w:r>
      <w:r w:rsidR="009F5742">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3D1B58">
        <w:rPr>
          <w:rFonts w:ascii="Times New Roman" w:hAnsi="Times New Roman"/>
          <w:smallCaps/>
        </w:rPr>
        <w:t>Instalación</w:t>
      </w:r>
      <w:r w:rsidRPr="00BE2E16">
        <w:rPr>
          <w:rFonts w:ascii="Times New Roman" w:hAnsi="Times New Roman"/>
        </w:rPr>
        <w:t xml:space="preserve"> objeto </w:t>
      </w:r>
      <w:r w:rsidRPr="00BE2E16">
        <w:rPr>
          <w:rFonts w:ascii="Times New Roman" w:hAnsi="Times New Roman"/>
        </w:rPr>
        <w:lastRenderedPageBreak/>
        <w:t xml:space="preserve">del </w:t>
      </w:r>
      <w:r w:rsidRPr="00BE2E16">
        <w:rPr>
          <w:rFonts w:ascii="Times New Roman" w:hAnsi="Times New Roman"/>
          <w:smallCaps/>
        </w:rPr>
        <w:t>Concurso</w:t>
      </w:r>
      <w:r w:rsidRPr="00BE2E16">
        <w:rPr>
          <w:rFonts w:ascii="Times New Roman" w:hAnsi="Times New Roman"/>
        </w:rPr>
        <w:t xml:space="preserve">. </w:t>
      </w:r>
      <w:r w:rsidR="004479F5">
        <w:rPr>
          <w:rFonts w:ascii="Times New Roman" w:hAnsi="Times New Roman"/>
        </w:rPr>
        <w:t xml:space="preserve">Para cada uno de los puertos que puedan ser alternativas al Puerto de </w:t>
      </w:r>
      <w:r w:rsidR="003D1B58">
        <w:rPr>
          <w:rFonts w:ascii="Times New Roman" w:hAnsi="Times New Roman"/>
        </w:rPr>
        <w:t>Guaymas</w:t>
      </w:r>
      <w:r w:rsidR="004479F5">
        <w:rPr>
          <w:rFonts w:ascii="Times New Roman" w:hAnsi="Times New Roman"/>
        </w:rPr>
        <w:t xml:space="preserve"> identificar las razones sociales de las terminales, instalaciones y maniobristas activos en la atención a carga </w:t>
      </w:r>
      <w:r w:rsidR="003D1B58">
        <w:rPr>
          <w:rFonts w:ascii="Times New Roman" w:hAnsi="Times New Roman"/>
        </w:rPr>
        <w:t>granel agrícola</w:t>
      </w:r>
      <w:r w:rsidR="004479F5">
        <w:rPr>
          <w:rFonts w:ascii="Times New Roman" w:hAnsi="Times New Roman"/>
        </w:rPr>
        <w:t xml:space="preserve"> que podrían competir con la </w:t>
      </w:r>
      <w:r w:rsidR="003D1B58">
        <w:rPr>
          <w:rFonts w:ascii="Times New Roman" w:hAnsi="Times New Roman"/>
          <w:smallCaps/>
        </w:rPr>
        <w:t>Instalación</w:t>
      </w:r>
      <w:r w:rsidR="004479F5">
        <w:rPr>
          <w:rFonts w:ascii="Times New Roman" w:hAnsi="Times New Roman"/>
        </w:rPr>
        <w:t>.</w:t>
      </w:r>
    </w:p>
    <w:p w:rsidR="00467D42" w:rsidRPr="00BE2E16" w:rsidRDefault="00467D42"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00B16BC0">
        <w:rPr>
          <w:rFonts w:ascii="Times New Roman" w:hAnsi="Times New Roman"/>
          <w:smallCaps/>
        </w:rPr>
        <w:t>Instalación</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w:t>
      </w:r>
      <w:r w:rsidR="004479F5">
        <w:rPr>
          <w:rFonts w:ascii="Times New Roman" w:hAnsi="Times New Roman"/>
        </w:rPr>
        <w:t xml:space="preserve"> En estos casos, explicar detalladamente en qué consiste esa complementariedad y las instalaciones, terminales y maniobristas que proporcionan esos servicios complementarios.</w:t>
      </w:r>
    </w:p>
    <w:p w:rsidR="00467D42" w:rsidRDefault="00467D42" w:rsidP="0018326A">
      <w:pPr>
        <w:pStyle w:val="Sangradetextonormal"/>
        <w:numPr>
          <w:ilvl w:val="0"/>
          <w:numId w:val="2"/>
        </w:numPr>
        <w:tabs>
          <w:tab w:val="clear" w:pos="2629"/>
          <w:tab w:val="num" w:pos="2269"/>
        </w:tabs>
        <w:spacing w:after="160"/>
        <w:ind w:left="426"/>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w:t>
      </w:r>
      <w:r w:rsidR="004479F5">
        <w:rPr>
          <w:rFonts w:ascii="Times New Roman" w:hAnsi="Times New Roman"/>
        </w:rPr>
        <w:t xml:space="preserve"> </w:t>
      </w:r>
      <w:r w:rsidR="005E0C61">
        <w:rPr>
          <w:rFonts w:ascii="Times New Roman" w:hAnsi="Times New Roman"/>
        </w:rPr>
        <w:t xml:space="preserve">oferentes de otros servicios (e.g. </w:t>
      </w:r>
      <w:r w:rsidR="004479F5">
        <w:rPr>
          <w:rFonts w:ascii="Times New Roman" w:hAnsi="Times New Roman"/>
        </w:rPr>
        <w:t>maniobristas</w:t>
      </w:r>
      <w:r w:rsidR="005E0C61">
        <w:rPr>
          <w:rFonts w:ascii="Times New Roman" w:hAnsi="Times New Roman"/>
        </w:rPr>
        <w:t>)</w:t>
      </w:r>
      <w:r>
        <w:rPr>
          <w:rFonts w:ascii="Times New Roman" w:hAnsi="Times New Roman"/>
        </w:rPr>
        <w:t>, identificando a los titular</w:t>
      </w:r>
      <w:r w:rsidR="004479F5">
        <w:rPr>
          <w:rFonts w:ascii="Times New Roman" w:hAnsi="Times New Roman"/>
        </w:rPr>
        <w:t>es de los contratos respectivos,</w:t>
      </w:r>
      <w:r>
        <w:rPr>
          <w:rFonts w:ascii="Times New Roman" w:hAnsi="Times New Roman"/>
        </w:rPr>
        <w:t xml:space="preserve"> </w:t>
      </w:r>
      <w:r w:rsidR="007A47E4">
        <w:rPr>
          <w:rFonts w:ascii="Times New Roman" w:hAnsi="Times New Roman"/>
        </w:rPr>
        <w:t xml:space="preserve">en puertos del país, incluido el </w:t>
      </w:r>
      <w:r>
        <w:rPr>
          <w:rFonts w:ascii="Times New Roman" w:hAnsi="Times New Roman"/>
        </w:rPr>
        <w:t xml:space="preserve">Puerto de </w:t>
      </w:r>
      <w:r w:rsidR="007A47E4">
        <w:rPr>
          <w:rFonts w:ascii="Times New Roman" w:hAnsi="Times New Roman"/>
        </w:rPr>
        <w:t>Guaymas</w:t>
      </w:r>
      <w:r w:rsidRPr="00BE2E16">
        <w:rPr>
          <w:rFonts w:ascii="Times New Roman" w:hAnsi="Times New Roman"/>
        </w:rPr>
        <w:t xml:space="preserve">, que podrían competir con la </w:t>
      </w:r>
      <w:r w:rsidR="007A47E4">
        <w:rPr>
          <w:rFonts w:ascii="Times New Roman" w:hAnsi="Times New Roman"/>
          <w:smallCaps/>
        </w:rPr>
        <w:t>Instalación</w:t>
      </w:r>
      <w:r>
        <w:rPr>
          <w:rFonts w:ascii="Times New Roman" w:hAnsi="Times New Roman"/>
          <w:smallCaps/>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6129D5" w:rsidRDefault="006129D5" w:rsidP="0018326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 xml:space="preserve">Indicar el monto estimado de la inversión que se requiere para </w:t>
      </w:r>
      <w:r w:rsidR="0059265B">
        <w:rPr>
          <w:rFonts w:ascii="Times New Roman" w:hAnsi="Times New Roman"/>
        </w:rPr>
        <w:t xml:space="preserve">construir </w:t>
      </w:r>
      <w:r>
        <w:rPr>
          <w:rFonts w:ascii="Times New Roman" w:hAnsi="Times New Roman"/>
        </w:rPr>
        <w:t xml:space="preserve">y operar </w:t>
      </w:r>
      <w:r w:rsidR="007A47E4">
        <w:rPr>
          <w:rFonts w:ascii="Times New Roman" w:hAnsi="Times New Roman"/>
        </w:rPr>
        <w:t>una</w:t>
      </w:r>
      <w:r w:rsidR="00284757">
        <w:rPr>
          <w:rFonts w:ascii="Times New Roman" w:hAnsi="Times New Roman"/>
        </w:rPr>
        <w:t xml:space="preserve"> </w:t>
      </w:r>
      <w:r w:rsidR="007A47E4">
        <w:rPr>
          <w:rFonts w:ascii="Times New Roman" w:hAnsi="Times New Roman"/>
          <w:smallCaps/>
        </w:rPr>
        <w:t xml:space="preserve">Instalación </w:t>
      </w:r>
      <w:r w:rsidR="007A47E4">
        <w:rPr>
          <w:rFonts w:ascii="Times New Roman" w:hAnsi="Times New Roman"/>
        </w:rPr>
        <w:t xml:space="preserve">similar a la que es objeto del </w:t>
      </w:r>
      <w:r w:rsidR="007A47E4" w:rsidRPr="007A47E4">
        <w:rPr>
          <w:rFonts w:ascii="Times New Roman" w:hAnsi="Times New Roman"/>
          <w:smallCaps/>
        </w:rPr>
        <w:t>Concurso</w:t>
      </w:r>
      <w:r w:rsidRPr="00BE2E16">
        <w:rPr>
          <w:rFonts w:ascii="Times New Roman" w:hAnsi="Times New Roman"/>
        </w:rPr>
        <w:t xml:space="preserve"> y el plaz</w:t>
      </w:r>
      <w:r w:rsidR="00CA5CB5">
        <w:rPr>
          <w:rFonts w:ascii="Times New Roman" w:hAnsi="Times New Roman"/>
        </w:rPr>
        <w:t>o en el que podría recuperarla.</w:t>
      </w:r>
      <w:r w:rsidR="002C72EF">
        <w:rPr>
          <w:rFonts w:ascii="Times New Roman" w:hAnsi="Times New Roman"/>
        </w:rPr>
        <w:t xml:space="preserve"> Asimismo, indicar </w:t>
      </w:r>
      <w:r w:rsidR="00362257">
        <w:rPr>
          <w:rFonts w:ascii="Times New Roman" w:hAnsi="Times New Roman"/>
        </w:rPr>
        <w:t xml:space="preserve">en que consistirían las adecuaciones, trabajos y equipamiento que llevaría a cabo para modernizar la </w:t>
      </w:r>
      <w:r w:rsidR="00362257" w:rsidRPr="00362257">
        <w:rPr>
          <w:rFonts w:ascii="Times New Roman" w:hAnsi="Times New Roman"/>
          <w:smallCaps/>
        </w:rPr>
        <w:t>Instalación</w:t>
      </w:r>
      <w:r w:rsidR="00362257">
        <w:rPr>
          <w:rFonts w:ascii="Times New Roman" w:hAnsi="Times New Roman"/>
        </w:rPr>
        <w:t xml:space="preserve"> objeto del </w:t>
      </w:r>
      <w:r w:rsidR="00362257" w:rsidRPr="007A47E4">
        <w:rPr>
          <w:rFonts w:ascii="Times New Roman" w:hAnsi="Times New Roman"/>
          <w:smallCaps/>
        </w:rPr>
        <w:t>Concurso</w:t>
      </w:r>
      <w:r w:rsidR="00362257">
        <w:rPr>
          <w:rFonts w:ascii="Times New Roman" w:hAnsi="Times New Roman"/>
        </w:rPr>
        <w:t xml:space="preserve">, </w:t>
      </w:r>
      <w:r w:rsidR="002C72EF" w:rsidRPr="00BE2E16">
        <w:rPr>
          <w:rFonts w:ascii="Times New Roman" w:hAnsi="Times New Roman"/>
        </w:rPr>
        <w:t xml:space="preserve">el monto estimado de la inversión que se requiere para </w:t>
      </w:r>
      <w:r w:rsidR="00362257">
        <w:rPr>
          <w:rFonts w:ascii="Times New Roman" w:hAnsi="Times New Roman"/>
        </w:rPr>
        <w:t xml:space="preserve">estos efectos y </w:t>
      </w:r>
      <w:r w:rsidR="002C72EF" w:rsidRPr="00BE2E16">
        <w:rPr>
          <w:rFonts w:ascii="Times New Roman" w:hAnsi="Times New Roman"/>
        </w:rPr>
        <w:t>el plaz</w:t>
      </w:r>
      <w:r w:rsidR="002C72EF">
        <w:rPr>
          <w:rFonts w:ascii="Times New Roman" w:hAnsi="Times New Roman"/>
        </w:rPr>
        <w:t xml:space="preserve">o en el que podría recuperarla. </w:t>
      </w:r>
    </w:p>
    <w:p w:rsidR="006A17CA" w:rsidRPr="006A17CA" w:rsidRDefault="006129D5" w:rsidP="006A17CA">
      <w:pPr>
        <w:pStyle w:val="Sangradetextonormal"/>
        <w:numPr>
          <w:ilvl w:val="0"/>
          <w:numId w:val="2"/>
        </w:numPr>
        <w:tabs>
          <w:tab w:val="clear" w:pos="2629"/>
          <w:tab w:val="num" w:pos="2269"/>
        </w:tabs>
        <w:spacing w:after="160"/>
        <w:ind w:left="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w:t>
      </w:r>
      <w:r w:rsidR="00456BF8">
        <w:rPr>
          <w:rFonts w:ascii="Times New Roman" w:hAnsi="Times New Roman"/>
        </w:rPr>
        <w:t>desarrollar</w:t>
      </w:r>
      <w:r w:rsidRPr="00BE2E16">
        <w:rPr>
          <w:rFonts w:ascii="Times New Roman" w:hAnsi="Times New Roman"/>
        </w:rPr>
        <w:t xml:space="preserve"> </w:t>
      </w:r>
      <w:r w:rsidR="00284757">
        <w:rPr>
          <w:rFonts w:ascii="Times New Roman" w:hAnsi="Times New Roman"/>
        </w:rPr>
        <w:t xml:space="preserve">y operar </w:t>
      </w:r>
      <w:r w:rsidRPr="00BE2E16">
        <w:rPr>
          <w:rFonts w:ascii="Times New Roman" w:hAnsi="Times New Roman"/>
        </w:rPr>
        <w:t xml:space="preserve">de manera adecuada y competitiva </w:t>
      </w:r>
      <w:r w:rsidR="00284757">
        <w:rPr>
          <w:rFonts w:ascii="Times New Roman" w:hAnsi="Times New Roman"/>
        </w:rPr>
        <w:t xml:space="preserve">la </w:t>
      </w:r>
      <w:r w:rsidR="00456BF8">
        <w:rPr>
          <w:rFonts w:ascii="Times New Roman" w:hAnsi="Times New Roman"/>
          <w:smallCaps/>
        </w:rPr>
        <w:t xml:space="preserve">Instalación </w:t>
      </w:r>
      <w:r w:rsidR="00456BF8" w:rsidRPr="00456BF8">
        <w:rPr>
          <w:rFonts w:ascii="Times New Roman" w:hAnsi="Times New Roman"/>
        </w:rPr>
        <w:t>o</w:t>
      </w:r>
      <w:r w:rsidR="00456BF8">
        <w:rPr>
          <w:rFonts w:ascii="Times New Roman" w:hAnsi="Times New Roman"/>
        </w:rPr>
        <w:t xml:space="preserve"> infraestructura similar a la que es objeto del </w:t>
      </w:r>
      <w:r w:rsidR="00456BF8" w:rsidRPr="00456BF8">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r w:rsidR="006A17CA">
        <w:rPr>
          <w:rFonts w:ascii="Times New Roman" w:hAnsi="Times New Roman"/>
        </w:rPr>
        <w:t xml:space="preserve"> </w:t>
      </w:r>
      <w:r w:rsidR="006A17CA" w:rsidRPr="006A17CA">
        <w:rPr>
          <w:rFonts w:ascii="Times New Roman" w:hAnsi="Times New Roman"/>
        </w:rPr>
        <w:t>De manera enunciativa, se pueden considerar los siguientes elementos:</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t xml:space="preserve">cidos en el mercado relevante; </w:t>
      </w:r>
    </w:p>
    <w:p w:rsidR="006A17CA" w:rsidRDefault="006A17CA" w:rsidP="006A17CA">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por cualquier Autoridad Pública que discriminen en el otorgamiento de estímulos, subsidios o apoyos a ciertos productores, comercializadores, distribuidores o prestadores de servicios.</w:t>
      </w:r>
    </w:p>
    <w:p w:rsidR="006A17CA" w:rsidRPr="00A66DC0" w:rsidRDefault="006A17CA" w:rsidP="006A17CA">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que podrían afectar el desarrollo competitivo de la </w:t>
      </w:r>
      <w:r>
        <w:rPr>
          <w:smallCaps/>
        </w:rPr>
        <w:t>Instalación</w:t>
      </w:r>
      <w:r>
        <w:t>.</w:t>
      </w:r>
    </w:p>
    <w:p w:rsidR="006129D5" w:rsidRPr="00BE2E16" w:rsidRDefault="006129D5" w:rsidP="0018326A">
      <w:pPr>
        <w:pStyle w:val="Sangradetextonormal"/>
        <w:numPr>
          <w:ilvl w:val="0"/>
          <w:numId w:val="2"/>
        </w:numPr>
        <w:tabs>
          <w:tab w:val="clear" w:pos="2629"/>
          <w:tab w:val="num" w:pos="2269"/>
        </w:tabs>
        <w:spacing w:after="160"/>
        <w:ind w:left="426"/>
        <w:rPr>
          <w:rFonts w:ascii="Times New Roman" w:hAnsi="Times New Roman"/>
        </w:rPr>
      </w:pPr>
      <w:r>
        <w:rPr>
          <w:rFonts w:ascii="Times New Roman" w:hAnsi="Times New Roman"/>
        </w:rPr>
        <w:t xml:space="preserve">Indicar los </w:t>
      </w:r>
      <w:r w:rsidR="006A17CA">
        <w:rPr>
          <w:rFonts w:ascii="Times New Roman" w:hAnsi="Times New Roman"/>
        </w:rPr>
        <w:t>distintos</w:t>
      </w:r>
      <w:r w:rsidR="00284757">
        <w:rPr>
          <w:rFonts w:ascii="Times New Roman" w:hAnsi="Times New Roman"/>
        </w:rPr>
        <w:t xml:space="preserve"> </w:t>
      </w:r>
      <w:r>
        <w:rPr>
          <w:rFonts w:ascii="Times New Roman" w:hAnsi="Times New Roman"/>
        </w:rPr>
        <w:t xml:space="preserve">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deberá prestar y el porcentaje que representan del costo total en cada caso.</w:t>
      </w:r>
    </w:p>
    <w:p w:rsidR="006129D5" w:rsidRDefault="006129D5" w:rsidP="0018326A">
      <w:pPr>
        <w:pStyle w:val="Sangradetextonormal"/>
        <w:numPr>
          <w:ilvl w:val="0"/>
          <w:numId w:val="2"/>
        </w:numPr>
        <w:tabs>
          <w:tab w:val="clear" w:pos="2629"/>
          <w:tab w:val="num" w:pos="2269"/>
        </w:tabs>
        <w:ind w:left="426"/>
        <w:rPr>
          <w:rFonts w:ascii="Times New Roman" w:hAnsi="Times New Roman"/>
        </w:rPr>
      </w:pPr>
      <w:r w:rsidRPr="00BE2E16">
        <w:rPr>
          <w:rFonts w:ascii="Times New Roman" w:hAnsi="Times New Roman"/>
        </w:rPr>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w:t>
      </w:r>
      <w:r w:rsidR="00033B9B">
        <w:rPr>
          <w:rFonts w:ascii="Times New Roman" w:hAnsi="Times New Roman"/>
        </w:rPr>
        <w:t xml:space="preserve">tipo de </w:t>
      </w:r>
      <w:r w:rsidR="007B67D1">
        <w:rPr>
          <w:rFonts w:ascii="Times New Roman" w:hAnsi="Times New Roman"/>
        </w:rPr>
        <w:t>granel</w:t>
      </w:r>
      <w:r w:rsidR="00033B9B">
        <w:rPr>
          <w:rFonts w:ascii="Times New Roman" w:hAnsi="Times New Roman"/>
        </w:rPr>
        <w:t xml:space="preserve"> agrícola</w:t>
      </w:r>
      <w:r>
        <w:rPr>
          <w:rFonts w:ascii="Times New Roman" w:hAnsi="Times New Roman"/>
        </w:rPr>
        <w:t xml:space="preserve">, incluyendo los porcentajes a manejar </w:t>
      </w:r>
      <w:r w:rsidR="009C2DFD">
        <w:rPr>
          <w:rFonts w:ascii="Times New Roman" w:hAnsi="Times New Roman"/>
        </w:rPr>
        <w:t xml:space="preserve">respecto del </w:t>
      </w:r>
      <w:r>
        <w:rPr>
          <w:rFonts w:ascii="Times New Roman" w:hAnsi="Times New Roman"/>
        </w:rPr>
        <w:t xml:space="preserve">total objetivo, así como los respectivos </w:t>
      </w:r>
      <w:r w:rsidRPr="00BE2E16">
        <w:rPr>
          <w:rFonts w:ascii="Times New Roman" w:hAnsi="Times New Roman"/>
        </w:rPr>
        <w:t xml:space="preserve">volúmenes anuales de carga </w:t>
      </w:r>
      <w:r w:rsidR="00112E5C">
        <w:rPr>
          <w:rFonts w:ascii="Times New Roman" w:hAnsi="Times New Roman"/>
        </w:rPr>
        <w:t>que estima</w:t>
      </w:r>
      <w:r w:rsidR="002B2D03">
        <w:rPr>
          <w:rFonts w:ascii="Times New Roman" w:hAnsi="Times New Roman"/>
        </w:rPr>
        <w:t xml:space="preserve"> alcanzar dentro </w:t>
      </w:r>
      <w:r w:rsidRPr="00BE2E16">
        <w:rPr>
          <w:rFonts w:ascii="Times New Roman" w:hAnsi="Times New Roman"/>
        </w:rPr>
        <w:t xml:space="preserve">los cinco años </w:t>
      </w:r>
      <w:r w:rsidR="002B2D03">
        <w:rPr>
          <w:rFonts w:ascii="Times New Roman" w:hAnsi="Times New Roman"/>
        </w:rPr>
        <w:t xml:space="preserve">a partir del </w:t>
      </w:r>
      <w:r w:rsidRPr="00BE2E16">
        <w:rPr>
          <w:rFonts w:ascii="Times New Roman" w:hAnsi="Times New Roman"/>
        </w:rPr>
        <w:t xml:space="preserve">inicio de operaciones. </w:t>
      </w:r>
    </w:p>
    <w:p w:rsidR="006129D5" w:rsidRDefault="006129D5" w:rsidP="002005F1">
      <w:pPr>
        <w:pStyle w:val="Sangradetextonormal"/>
        <w:numPr>
          <w:ilvl w:val="0"/>
          <w:numId w:val="2"/>
        </w:numPr>
        <w:tabs>
          <w:tab w:val="clear" w:pos="2629"/>
          <w:tab w:val="num" w:pos="2269"/>
        </w:tabs>
        <w:spacing w:after="160"/>
        <w:ind w:left="426" w:hanging="426"/>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rsidR="006129D5" w:rsidRDefault="006129D5" w:rsidP="002005F1">
      <w:pPr>
        <w:pStyle w:val="Sangradetextonormal"/>
        <w:numPr>
          <w:ilvl w:val="0"/>
          <w:numId w:val="2"/>
        </w:numPr>
        <w:tabs>
          <w:tab w:val="clear" w:pos="2629"/>
          <w:tab w:val="num" w:pos="2269"/>
        </w:tabs>
        <w:spacing w:after="160"/>
        <w:ind w:left="426" w:hanging="426"/>
        <w:rPr>
          <w:rFonts w:ascii="Times New Roman" w:hAnsi="Times New Roman"/>
        </w:rPr>
      </w:pPr>
      <w:r>
        <w:rPr>
          <w:rFonts w:ascii="Times New Roman" w:hAnsi="Times New Roman"/>
        </w:rPr>
        <w:t xml:space="preserve">Proporcionar copia de </w:t>
      </w:r>
      <w:r w:rsidR="007B67D1">
        <w:rPr>
          <w:rFonts w:ascii="Times New Roman" w:hAnsi="Times New Roman"/>
        </w:rPr>
        <w:t xml:space="preserve">todos </w:t>
      </w:r>
      <w:r>
        <w:rPr>
          <w:rFonts w:ascii="Times New Roman" w:hAnsi="Times New Roman"/>
        </w:rPr>
        <w:t>los estudios de mercado, análisis, presentaciones corporativas o internas y cualquier otro documento</w:t>
      </w:r>
      <w:r w:rsidR="007B67D1">
        <w:rPr>
          <w:rFonts w:ascii="Times New Roman" w:hAnsi="Times New Roman"/>
        </w:rPr>
        <w:t xml:space="preserve">, elaborado por o para el </w:t>
      </w:r>
      <w:r w:rsidR="007B67D1" w:rsidRPr="00AA0065">
        <w:rPr>
          <w:rFonts w:ascii="Times New Roman" w:hAnsi="Times New Roman"/>
          <w:smallCaps/>
        </w:rPr>
        <w:t xml:space="preserve">Participante Individual </w:t>
      </w:r>
      <w:r w:rsidR="007B67D1" w:rsidRPr="00AA0065">
        <w:rPr>
          <w:rFonts w:ascii="Times New Roman" w:hAnsi="Times New Roman"/>
        </w:rPr>
        <w:t>o</w:t>
      </w:r>
      <w:r w:rsidR="007B67D1">
        <w:rPr>
          <w:rFonts w:ascii="Times New Roman" w:hAnsi="Times New Roman"/>
        </w:rPr>
        <w:t xml:space="preserve"> para </w:t>
      </w:r>
      <w:r w:rsidR="007B67D1">
        <w:rPr>
          <w:rFonts w:ascii="Times New Roman" w:hAnsi="Times New Roman"/>
        </w:rPr>
        <w:lastRenderedPageBreak/>
        <w:t>cada uno de los miembros del</w:t>
      </w:r>
      <w:r w:rsidR="007B67D1" w:rsidRPr="00AA0065">
        <w:rPr>
          <w:rFonts w:ascii="Times New Roman" w:hAnsi="Times New Roman"/>
          <w:smallCaps/>
        </w:rPr>
        <w:t xml:space="preserve"> Participante en Grupo</w:t>
      </w:r>
      <w:r w:rsidR="007B67D1">
        <w:rPr>
          <w:rFonts w:ascii="Times New Roman" w:hAnsi="Times New Roman"/>
        </w:rPr>
        <w:t>,</w:t>
      </w:r>
      <w:r>
        <w:rPr>
          <w:rFonts w:ascii="Times New Roman" w:hAnsi="Times New Roman"/>
        </w:rPr>
        <w:t xml:space="preserve"> que </w:t>
      </w:r>
      <w:r w:rsidR="00112E5C">
        <w:rPr>
          <w:rFonts w:ascii="Times New Roman" w:hAnsi="Times New Roman"/>
        </w:rPr>
        <w:t xml:space="preserve">haya </w:t>
      </w:r>
      <w:r>
        <w:rPr>
          <w:rFonts w:ascii="Times New Roman" w:hAnsi="Times New Roman"/>
        </w:rPr>
        <w:t xml:space="preserve">utilizado para tomar la decisión de participar en el </w:t>
      </w:r>
      <w:r w:rsidRPr="00ED1038">
        <w:rPr>
          <w:rFonts w:ascii="Times New Roman" w:hAnsi="Times New Roman"/>
          <w:smallCaps/>
        </w:rPr>
        <w:t>Concurso</w:t>
      </w:r>
      <w:r w:rsidR="00CA5CB5">
        <w:rPr>
          <w:rFonts w:ascii="Times New Roman" w:hAnsi="Times New Roman"/>
        </w:rPr>
        <w:t>.</w:t>
      </w:r>
    </w:p>
    <w:p w:rsidR="006129D5" w:rsidRDefault="006129D5" w:rsidP="002005F1">
      <w:pPr>
        <w:pStyle w:val="Sangradetextonormal"/>
        <w:numPr>
          <w:ilvl w:val="0"/>
          <w:numId w:val="2"/>
        </w:numPr>
        <w:tabs>
          <w:tab w:val="clear" w:pos="2629"/>
          <w:tab w:val="num" w:pos="2269"/>
        </w:tabs>
        <w:spacing w:after="160"/>
        <w:ind w:left="426" w:hanging="426"/>
        <w:rPr>
          <w:rFonts w:ascii="Times New Roman" w:hAnsi="Times New Roman"/>
        </w:rPr>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w:t>
      </w:r>
      <w:r w:rsidR="00112E5C">
        <w:rPr>
          <w:rFonts w:ascii="Times New Roman" w:hAnsi="Times New Roman"/>
        </w:rPr>
        <w:t>a gráneles agrícolas</w:t>
      </w:r>
      <w:r w:rsidR="009C2DFD">
        <w:rPr>
          <w:rFonts w:ascii="Times New Roman" w:hAnsi="Times New Roman"/>
        </w:rPr>
        <w:t xml:space="preserve"> </w:t>
      </w:r>
      <w:r>
        <w:rPr>
          <w:rFonts w:ascii="Times New Roman" w:hAnsi="Times New Roman"/>
        </w:rPr>
        <w:t xml:space="preserve">el puerto de </w:t>
      </w:r>
      <w:r w:rsidR="00112E5C">
        <w:rPr>
          <w:rFonts w:ascii="Times New Roman" w:hAnsi="Times New Roman"/>
        </w:rPr>
        <w:t>Guaymas</w:t>
      </w:r>
      <w:r>
        <w:rPr>
          <w:rFonts w:ascii="Times New Roman" w:hAnsi="Times New Roman"/>
        </w:rPr>
        <w:t xml:space="preserve">; y </w:t>
      </w:r>
      <w:r w:rsidRPr="0073687B">
        <w:rPr>
          <w:rFonts w:ascii="Times New Roman" w:hAnsi="Times New Roman"/>
          <w:b/>
        </w:rPr>
        <w:t>ii)</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r w:rsidR="00112E5C">
        <w:rPr>
          <w:rFonts w:ascii="Times New Roman" w:hAnsi="Times New Roman"/>
        </w:rPr>
        <w:t xml:space="preserve"> Para que estas ganancias en eficiencia sean tomadas en cuenta por la </w:t>
      </w:r>
      <w:r w:rsidR="00112E5C" w:rsidRPr="0059265B">
        <w:rPr>
          <w:rFonts w:ascii="Times New Roman" w:hAnsi="Times New Roman"/>
          <w:smallCaps/>
        </w:rPr>
        <w:t>Comisión</w:t>
      </w:r>
      <w:r w:rsidR="00112E5C">
        <w:rPr>
          <w:rFonts w:ascii="Times New Roman" w:hAnsi="Times New Roman"/>
        </w:rPr>
        <w:t>, deberá presentar análisis, estudios económicos, peritajes u otros documentos que dichas ganancias incrementarán el bienestar del consumidor.</w:t>
      </w:r>
    </w:p>
    <w:p w:rsidR="00642D68" w:rsidRDefault="00642D68" w:rsidP="00642D68">
      <w:pPr>
        <w:pStyle w:val="Sangradetextonormal"/>
        <w:spacing w:after="160"/>
        <w:ind w:left="426" w:firstLine="0"/>
        <w:rPr>
          <w:rFonts w:ascii="Times New Roman" w:hAnsi="Times New Roman"/>
        </w:rPr>
      </w:pPr>
      <w:r>
        <w:rPr>
          <w:rFonts w:ascii="Times New Roman" w:hAnsi="Times New Roman"/>
        </w:rPr>
        <w:t>Para efectos de lo anterior se entenderá por ganancias en eficiencia las siguiente</w:t>
      </w:r>
      <w:r w:rsidR="004F24B9">
        <w:rPr>
          <w:rFonts w:ascii="Times New Roman" w:hAnsi="Times New Roman"/>
        </w:rPr>
        <w:t>s</w:t>
      </w:r>
      <w:r>
        <w:rPr>
          <w:rFonts w:ascii="Times New Roman" w:hAnsi="Times New Roman"/>
        </w:rPr>
        <w:t>:</w:t>
      </w:r>
    </w:p>
    <w:p w:rsidR="00642D68" w:rsidRDefault="00642D68" w:rsidP="00642D68">
      <w:pPr>
        <w:pStyle w:val="Prrafodelista"/>
        <w:numPr>
          <w:ilvl w:val="0"/>
          <w:numId w:val="13"/>
        </w:numPr>
        <w:shd w:val="clear" w:color="auto" w:fill="FFFFFF" w:themeFill="background1"/>
        <w:overflowPunct w:val="0"/>
        <w:autoSpaceDE w:val="0"/>
        <w:autoSpaceDN w:val="0"/>
        <w:adjustRightInd w:val="0"/>
        <w:spacing w:after="60"/>
        <w:ind w:right="335"/>
        <w:contextualSpacing w:val="0"/>
        <w:jc w:val="both"/>
        <w:textAlignment w:val="baseline"/>
      </w:pPr>
      <w:r>
        <w:t xml:space="preserve">La obtención de ahorros en recursos que permitan producir la misma cantidad del bien a menor costo o a una mayor cantidad </w:t>
      </w:r>
      <w:r w:rsidR="004F24B9">
        <w:t>del bien al mismo costo, sin disminuir la calidad del bien;</w:t>
      </w:r>
    </w:p>
    <w:p w:rsidR="004F24B9" w:rsidRDefault="004F24B9" w:rsidP="00642D68">
      <w:pPr>
        <w:pStyle w:val="Prrafodelista"/>
        <w:numPr>
          <w:ilvl w:val="0"/>
          <w:numId w:val="13"/>
        </w:numPr>
        <w:shd w:val="clear" w:color="auto" w:fill="FFFFFF" w:themeFill="background1"/>
        <w:overflowPunct w:val="0"/>
        <w:autoSpaceDE w:val="0"/>
        <w:autoSpaceDN w:val="0"/>
        <w:adjustRightInd w:val="0"/>
        <w:spacing w:after="60"/>
        <w:ind w:right="335"/>
        <w:contextualSpacing w:val="0"/>
        <w:jc w:val="both"/>
        <w:textAlignment w:val="baseline"/>
      </w:pPr>
      <w:r>
        <w:t>La reducción de costos si se producen dos o más bienes o servicios de manera conjunta que separadamente;</w:t>
      </w:r>
    </w:p>
    <w:p w:rsidR="004F24B9" w:rsidRDefault="004F24B9" w:rsidP="00642D68">
      <w:pPr>
        <w:pStyle w:val="Prrafodelista"/>
        <w:numPr>
          <w:ilvl w:val="0"/>
          <w:numId w:val="13"/>
        </w:numPr>
        <w:shd w:val="clear" w:color="auto" w:fill="FFFFFF" w:themeFill="background1"/>
        <w:overflowPunct w:val="0"/>
        <w:autoSpaceDE w:val="0"/>
        <w:autoSpaceDN w:val="0"/>
        <w:adjustRightInd w:val="0"/>
        <w:spacing w:after="60"/>
        <w:ind w:right="335"/>
        <w:contextualSpacing w:val="0"/>
        <w:jc w:val="both"/>
        <w:textAlignment w:val="baseline"/>
      </w:pPr>
      <w:r>
        <w:t>La transferencia o desarrollo de tecnología de producción;</w:t>
      </w:r>
    </w:p>
    <w:p w:rsidR="004F24B9" w:rsidRDefault="004F24B9" w:rsidP="00642D68">
      <w:pPr>
        <w:pStyle w:val="Prrafodelista"/>
        <w:numPr>
          <w:ilvl w:val="0"/>
          <w:numId w:val="13"/>
        </w:numPr>
        <w:shd w:val="clear" w:color="auto" w:fill="FFFFFF" w:themeFill="background1"/>
        <w:overflowPunct w:val="0"/>
        <w:autoSpaceDE w:val="0"/>
        <w:autoSpaceDN w:val="0"/>
        <w:adjustRightInd w:val="0"/>
        <w:spacing w:after="60"/>
        <w:ind w:right="335"/>
        <w:contextualSpacing w:val="0"/>
        <w:jc w:val="both"/>
        <w:textAlignment w:val="baseline"/>
      </w:pPr>
      <w:r>
        <w:t>La disminución del costo de producción o comercialización derivada de la expansión de una red de infraestructura o distribución;</w:t>
      </w:r>
    </w:p>
    <w:p w:rsidR="004F24B9" w:rsidRPr="001313B5" w:rsidRDefault="004F24B9" w:rsidP="00642D68">
      <w:pPr>
        <w:pStyle w:val="Prrafodelista"/>
        <w:numPr>
          <w:ilvl w:val="0"/>
          <w:numId w:val="13"/>
        </w:numPr>
        <w:shd w:val="clear" w:color="auto" w:fill="FFFFFF" w:themeFill="background1"/>
        <w:overflowPunct w:val="0"/>
        <w:autoSpaceDE w:val="0"/>
        <w:autoSpaceDN w:val="0"/>
        <w:adjustRightInd w:val="0"/>
        <w:spacing w:after="60"/>
        <w:ind w:right="335"/>
        <w:contextualSpacing w:val="0"/>
        <w:jc w:val="both"/>
        <w:textAlignment w:val="baseline"/>
      </w:pPr>
      <w:r>
        <w:t xml:space="preserve">Las demás que demuestren que las aportaciones netas al bienestar del consumidor derivadas de obtener la </w:t>
      </w:r>
      <w:r w:rsidRPr="004F24B9">
        <w:rPr>
          <w:smallCaps/>
        </w:rPr>
        <w:t>Instalación</w:t>
      </w:r>
      <w:r>
        <w:t xml:space="preserve"> objeto del </w:t>
      </w:r>
      <w:r w:rsidRPr="004F24B9">
        <w:rPr>
          <w:smallCaps/>
        </w:rPr>
        <w:t>Concurso</w:t>
      </w:r>
      <w:r>
        <w:t xml:space="preserve"> superan los efectos anticompetitivos.</w:t>
      </w:r>
    </w:p>
    <w:sectPr w:rsidR="004F24B9" w:rsidRPr="001313B5" w:rsidSect="009E7F96">
      <w:headerReference w:type="default" r:id="rId10"/>
      <w:footerReference w:type="even" r:id="rId11"/>
      <w:footerReference w:type="default" r:id="rId12"/>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F7" w:rsidRDefault="00B823F7">
      <w:r>
        <w:separator/>
      </w:r>
    </w:p>
  </w:endnote>
  <w:endnote w:type="continuationSeparator" w:id="0">
    <w:p w:rsidR="00B823F7" w:rsidRDefault="00B823F7">
      <w:r>
        <w:continuationSeparator/>
      </w:r>
    </w:p>
  </w:endnote>
  <w:endnote w:type="continuationNotice" w:id="1">
    <w:p w:rsidR="00B823F7" w:rsidRDefault="00B82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72" w:rsidRDefault="00B27A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A72" w:rsidRDefault="00B27A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72" w:rsidRPr="009E7F96" w:rsidRDefault="00B27A72"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sidR="002D3605">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F7" w:rsidRDefault="00B823F7">
      <w:r>
        <w:separator/>
      </w:r>
    </w:p>
  </w:footnote>
  <w:footnote w:type="continuationSeparator" w:id="0">
    <w:p w:rsidR="00B823F7" w:rsidRDefault="00B823F7">
      <w:r>
        <w:continuationSeparator/>
      </w:r>
    </w:p>
  </w:footnote>
  <w:footnote w:type="continuationNotice" w:id="1">
    <w:p w:rsidR="00B823F7" w:rsidRDefault="00B823F7"/>
  </w:footnote>
  <w:footnote w:id="2">
    <w:p w:rsidR="00B27A72" w:rsidRPr="00DE5193" w:rsidRDefault="00B27A72"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B27A72" w:rsidRPr="00EA28AD" w:rsidRDefault="00B27A72"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B27A72" w:rsidRPr="00A81CDF" w:rsidRDefault="00B27A72"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B27A72" w:rsidRPr="00F85205" w:rsidRDefault="00B27A72"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72" w:rsidRDefault="00B27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628C33DE"/>
    <w:lvl w:ilvl="0" w:tplc="CEB466E0">
      <w:start w:val="1"/>
      <w:numFmt w:val="decimal"/>
      <w:lvlText w:val="%1."/>
      <w:lvlJc w:val="left"/>
      <w:pPr>
        <w:tabs>
          <w:tab w:val="num" w:pos="2629"/>
        </w:tabs>
        <w:ind w:left="2629" w:hanging="360"/>
      </w:pPr>
      <w:rPr>
        <w:rFonts w:hint="default"/>
        <w:b/>
        <w:i w:val="0"/>
        <w:lang w:val="es-E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1" w15:restartNumberingAfterBreak="0">
    <w:nsid w:val="73C63F4C"/>
    <w:multiLevelType w:val="hybridMultilevel"/>
    <w:tmpl w:val="A03E19BE"/>
    <w:lvl w:ilvl="0" w:tplc="CEB466E0">
      <w:start w:val="1"/>
      <w:numFmt w:val="decimal"/>
      <w:lvlText w:val="%1."/>
      <w:lvlJc w:val="left"/>
      <w:pPr>
        <w:tabs>
          <w:tab w:val="num" w:pos="2629"/>
        </w:tabs>
        <w:ind w:left="2629" w:hanging="360"/>
      </w:pPr>
      <w:rPr>
        <w:rFonts w:hint="default"/>
        <w:b/>
        <w:i w:val="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8"/>
  </w:num>
  <w:num w:numId="4">
    <w:abstractNumId w:val="5"/>
  </w:num>
  <w:num w:numId="5">
    <w:abstractNumId w:val="1"/>
  </w:num>
  <w:num w:numId="6">
    <w:abstractNumId w:val="3"/>
  </w:num>
  <w:num w:numId="7">
    <w:abstractNumId w:val="6"/>
  </w:num>
  <w:num w:numId="8">
    <w:abstractNumId w:val="10"/>
  </w:num>
  <w:num w:numId="9">
    <w:abstractNumId w:val="7"/>
  </w:num>
  <w:num w:numId="10">
    <w:abstractNumId w:val="12"/>
  </w:num>
  <w:num w:numId="11">
    <w:abstractNumId w:val="11"/>
  </w:num>
  <w:num w:numId="12">
    <w:abstractNumId w:val="9"/>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8AB"/>
    <w:rsid w:val="000039B6"/>
    <w:rsid w:val="00005593"/>
    <w:rsid w:val="00006A89"/>
    <w:rsid w:val="00010981"/>
    <w:rsid w:val="00013495"/>
    <w:rsid w:val="00014F22"/>
    <w:rsid w:val="00016E42"/>
    <w:rsid w:val="00017225"/>
    <w:rsid w:val="00020BF8"/>
    <w:rsid w:val="00024067"/>
    <w:rsid w:val="000256E9"/>
    <w:rsid w:val="000273A2"/>
    <w:rsid w:val="000304DF"/>
    <w:rsid w:val="00030C09"/>
    <w:rsid w:val="00033B9B"/>
    <w:rsid w:val="000355DE"/>
    <w:rsid w:val="000357FA"/>
    <w:rsid w:val="0003671B"/>
    <w:rsid w:val="00037BB7"/>
    <w:rsid w:val="00040330"/>
    <w:rsid w:val="00044858"/>
    <w:rsid w:val="000546A5"/>
    <w:rsid w:val="000623FC"/>
    <w:rsid w:val="000669BB"/>
    <w:rsid w:val="00067256"/>
    <w:rsid w:val="00077B31"/>
    <w:rsid w:val="00081A50"/>
    <w:rsid w:val="00081C28"/>
    <w:rsid w:val="000837BE"/>
    <w:rsid w:val="000849D5"/>
    <w:rsid w:val="00095317"/>
    <w:rsid w:val="00095EE7"/>
    <w:rsid w:val="00097ED5"/>
    <w:rsid w:val="00097F27"/>
    <w:rsid w:val="000A1638"/>
    <w:rsid w:val="000A37FA"/>
    <w:rsid w:val="000A5F9F"/>
    <w:rsid w:val="000A6D5B"/>
    <w:rsid w:val="000C7D0F"/>
    <w:rsid w:val="000D0391"/>
    <w:rsid w:val="000D2045"/>
    <w:rsid w:val="000D382F"/>
    <w:rsid w:val="000D7BCE"/>
    <w:rsid w:val="000E62BE"/>
    <w:rsid w:val="000F4079"/>
    <w:rsid w:val="000F4CAB"/>
    <w:rsid w:val="000F7969"/>
    <w:rsid w:val="00101802"/>
    <w:rsid w:val="001027E2"/>
    <w:rsid w:val="001044E5"/>
    <w:rsid w:val="00106F8B"/>
    <w:rsid w:val="001070AD"/>
    <w:rsid w:val="00112354"/>
    <w:rsid w:val="00112C2D"/>
    <w:rsid w:val="00112DEF"/>
    <w:rsid w:val="00112E5C"/>
    <w:rsid w:val="001147EF"/>
    <w:rsid w:val="001148E2"/>
    <w:rsid w:val="00117861"/>
    <w:rsid w:val="0012061F"/>
    <w:rsid w:val="00120B2B"/>
    <w:rsid w:val="00120F87"/>
    <w:rsid w:val="00123038"/>
    <w:rsid w:val="001274B0"/>
    <w:rsid w:val="00130DE0"/>
    <w:rsid w:val="001313B5"/>
    <w:rsid w:val="00140858"/>
    <w:rsid w:val="00141FA9"/>
    <w:rsid w:val="00142263"/>
    <w:rsid w:val="001454E8"/>
    <w:rsid w:val="0014581C"/>
    <w:rsid w:val="00151755"/>
    <w:rsid w:val="00162D97"/>
    <w:rsid w:val="00163FC1"/>
    <w:rsid w:val="001656FF"/>
    <w:rsid w:val="00166AAA"/>
    <w:rsid w:val="00167F6E"/>
    <w:rsid w:val="0017486F"/>
    <w:rsid w:val="001766DA"/>
    <w:rsid w:val="0018326A"/>
    <w:rsid w:val="00183816"/>
    <w:rsid w:val="001862B2"/>
    <w:rsid w:val="00192578"/>
    <w:rsid w:val="00195D25"/>
    <w:rsid w:val="0019742E"/>
    <w:rsid w:val="001A1705"/>
    <w:rsid w:val="001A5746"/>
    <w:rsid w:val="001B0C60"/>
    <w:rsid w:val="001B58DB"/>
    <w:rsid w:val="001B79DE"/>
    <w:rsid w:val="001C16BE"/>
    <w:rsid w:val="001C3BC7"/>
    <w:rsid w:val="001C5D95"/>
    <w:rsid w:val="001C6A26"/>
    <w:rsid w:val="001C7DF3"/>
    <w:rsid w:val="001C7FD2"/>
    <w:rsid w:val="001D06CB"/>
    <w:rsid w:val="001D3195"/>
    <w:rsid w:val="001E0C99"/>
    <w:rsid w:val="001E0D2A"/>
    <w:rsid w:val="001E331E"/>
    <w:rsid w:val="001E6BF5"/>
    <w:rsid w:val="001F46FA"/>
    <w:rsid w:val="001F4A7B"/>
    <w:rsid w:val="001F7EE1"/>
    <w:rsid w:val="002005F1"/>
    <w:rsid w:val="00203BE6"/>
    <w:rsid w:val="00207FA1"/>
    <w:rsid w:val="0021101F"/>
    <w:rsid w:val="002136FE"/>
    <w:rsid w:val="00213CC7"/>
    <w:rsid w:val="002210F1"/>
    <w:rsid w:val="00221151"/>
    <w:rsid w:val="00221D6C"/>
    <w:rsid w:val="00244BBE"/>
    <w:rsid w:val="002456C9"/>
    <w:rsid w:val="00245E70"/>
    <w:rsid w:val="002506D5"/>
    <w:rsid w:val="00251736"/>
    <w:rsid w:val="0025668D"/>
    <w:rsid w:val="002612E0"/>
    <w:rsid w:val="00261EA6"/>
    <w:rsid w:val="00263E64"/>
    <w:rsid w:val="002665D6"/>
    <w:rsid w:val="002721CE"/>
    <w:rsid w:val="00274552"/>
    <w:rsid w:val="002753FC"/>
    <w:rsid w:val="002816F7"/>
    <w:rsid w:val="00284470"/>
    <w:rsid w:val="00284757"/>
    <w:rsid w:val="0028797E"/>
    <w:rsid w:val="00296BDD"/>
    <w:rsid w:val="00297F8A"/>
    <w:rsid w:val="002A1893"/>
    <w:rsid w:val="002A4221"/>
    <w:rsid w:val="002B2D03"/>
    <w:rsid w:val="002B359D"/>
    <w:rsid w:val="002C18A5"/>
    <w:rsid w:val="002C72EF"/>
    <w:rsid w:val="002D3605"/>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55496"/>
    <w:rsid w:val="00362257"/>
    <w:rsid w:val="00373728"/>
    <w:rsid w:val="00373F3D"/>
    <w:rsid w:val="003747F3"/>
    <w:rsid w:val="003822BE"/>
    <w:rsid w:val="00384A1F"/>
    <w:rsid w:val="00391EFD"/>
    <w:rsid w:val="003A1CC1"/>
    <w:rsid w:val="003A3EE1"/>
    <w:rsid w:val="003A5A3C"/>
    <w:rsid w:val="003A6576"/>
    <w:rsid w:val="003A6FDF"/>
    <w:rsid w:val="003A7AD9"/>
    <w:rsid w:val="003B107D"/>
    <w:rsid w:val="003B46B0"/>
    <w:rsid w:val="003B5F63"/>
    <w:rsid w:val="003B63BA"/>
    <w:rsid w:val="003C0BCA"/>
    <w:rsid w:val="003C1B8E"/>
    <w:rsid w:val="003C20DF"/>
    <w:rsid w:val="003C4252"/>
    <w:rsid w:val="003C4596"/>
    <w:rsid w:val="003D08A3"/>
    <w:rsid w:val="003D168C"/>
    <w:rsid w:val="003D1B58"/>
    <w:rsid w:val="003D7CCE"/>
    <w:rsid w:val="003E2E1A"/>
    <w:rsid w:val="003E7CD8"/>
    <w:rsid w:val="003F228C"/>
    <w:rsid w:val="003F4971"/>
    <w:rsid w:val="003F55C9"/>
    <w:rsid w:val="003F6F2B"/>
    <w:rsid w:val="00401AE6"/>
    <w:rsid w:val="00404740"/>
    <w:rsid w:val="004174B2"/>
    <w:rsid w:val="00420C39"/>
    <w:rsid w:val="00422D16"/>
    <w:rsid w:val="00423CE3"/>
    <w:rsid w:val="0043177A"/>
    <w:rsid w:val="00431CBF"/>
    <w:rsid w:val="00433291"/>
    <w:rsid w:val="00442B78"/>
    <w:rsid w:val="004440FF"/>
    <w:rsid w:val="004453DD"/>
    <w:rsid w:val="004479F5"/>
    <w:rsid w:val="0045253B"/>
    <w:rsid w:val="004534A8"/>
    <w:rsid w:val="00456669"/>
    <w:rsid w:val="00456BF8"/>
    <w:rsid w:val="004573D6"/>
    <w:rsid w:val="00462509"/>
    <w:rsid w:val="00467D42"/>
    <w:rsid w:val="00475DAB"/>
    <w:rsid w:val="00483051"/>
    <w:rsid w:val="00490D5D"/>
    <w:rsid w:val="004A38EC"/>
    <w:rsid w:val="004A3C7F"/>
    <w:rsid w:val="004A4CFB"/>
    <w:rsid w:val="004B36A5"/>
    <w:rsid w:val="004B3E98"/>
    <w:rsid w:val="004C32FC"/>
    <w:rsid w:val="004C5602"/>
    <w:rsid w:val="004C60FD"/>
    <w:rsid w:val="004C75A1"/>
    <w:rsid w:val="004D0E13"/>
    <w:rsid w:val="004D25C8"/>
    <w:rsid w:val="004D3642"/>
    <w:rsid w:val="004E272B"/>
    <w:rsid w:val="004E77A4"/>
    <w:rsid w:val="004E7FA0"/>
    <w:rsid w:val="004F08A7"/>
    <w:rsid w:val="004F24B9"/>
    <w:rsid w:val="004F252F"/>
    <w:rsid w:val="004F68C8"/>
    <w:rsid w:val="004F6D43"/>
    <w:rsid w:val="004F7C8D"/>
    <w:rsid w:val="005011B3"/>
    <w:rsid w:val="00507065"/>
    <w:rsid w:val="00507114"/>
    <w:rsid w:val="00512615"/>
    <w:rsid w:val="00512ACA"/>
    <w:rsid w:val="005135F9"/>
    <w:rsid w:val="00514B83"/>
    <w:rsid w:val="00515395"/>
    <w:rsid w:val="00521D6F"/>
    <w:rsid w:val="00524B2D"/>
    <w:rsid w:val="005258F5"/>
    <w:rsid w:val="00525E43"/>
    <w:rsid w:val="00526C10"/>
    <w:rsid w:val="00526F4B"/>
    <w:rsid w:val="00531640"/>
    <w:rsid w:val="00534402"/>
    <w:rsid w:val="00534D99"/>
    <w:rsid w:val="00535BF4"/>
    <w:rsid w:val="00543CC1"/>
    <w:rsid w:val="0054730E"/>
    <w:rsid w:val="00550B93"/>
    <w:rsid w:val="00553858"/>
    <w:rsid w:val="00555153"/>
    <w:rsid w:val="005577BD"/>
    <w:rsid w:val="005619B0"/>
    <w:rsid w:val="00563F83"/>
    <w:rsid w:val="0057126B"/>
    <w:rsid w:val="00571342"/>
    <w:rsid w:val="00572914"/>
    <w:rsid w:val="00583AE8"/>
    <w:rsid w:val="005843EE"/>
    <w:rsid w:val="005907D2"/>
    <w:rsid w:val="00591FCC"/>
    <w:rsid w:val="0059265B"/>
    <w:rsid w:val="00593209"/>
    <w:rsid w:val="005A3504"/>
    <w:rsid w:val="005B11BB"/>
    <w:rsid w:val="005B799A"/>
    <w:rsid w:val="005C3C32"/>
    <w:rsid w:val="005C3C5A"/>
    <w:rsid w:val="005C3F9B"/>
    <w:rsid w:val="005C5301"/>
    <w:rsid w:val="005C668C"/>
    <w:rsid w:val="005C793B"/>
    <w:rsid w:val="005D3207"/>
    <w:rsid w:val="005D54C8"/>
    <w:rsid w:val="005D6540"/>
    <w:rsid w:val="005E0C61"/>
    <w:rsid w:val="005E6ECB"/>
    <w:rsid w:val="005E6F12"/>
    <w:rsid w:val="005F2EDB"/>
    <w:rsid w:val="0060128C"/>
    <w:rsid w:val="0060672F"/>
    <w:rsid w:val="00606899"/>
    <w:rsid w:val="00607140"/>
    <w:rsid w:val="006129D5"/>
    <w:rsid w:val="00614754"/>
    <w:rsid w:val="00620129"/>
    <w:rsid w:val="00620DA3"/>
    <w:rsid w:val="006275F0"/>
    <w:rsid w:val="006309FB"/>
    <w:rsid w:val="00642A44"/>
    <w:rsid w:val="00642D68"/>
    <w:rsid w:val="006514A2"/>
    <w:rsid w:val="00653332"/>
    <w:rsid w:val="006558F1"/>
    <w:rsid w:val="006639CE"/>
    <w:rsid w:val="00663DAB"/>
    <w:rsid w:val="00666BE8"/>
    <w:rsid w:val="00667BEC"/>
    <w:rsid w:val="00670D76"/>
    <w:rsid w:val="006765E4"/>
    <w:rsid w:val="00680899"/>
    <w:rsid w:val="006913D5"/>
    <w:rsid w:val="0069224F"/>
    <w:rsid w:val="0069684D"/>
    <w:rsid w:val="006A17CA"/>
    <w:rsid w:val="006A2162"/>
    <w:rsid w:val="006A2207"/>
    <w:rsid w:val="006A4124"/>
    <w:rsid w:val="006A4B8E"/>
    <w:rsid w:val="006A5FB3"/>
    <w:rsid w:val="006B3705"/>
    <w:rsid w:val="006B60E9"/>
    <w:rsid w:val="006C020C"/>
    <w:rsid w:val="006C31FB"/>
    <w:rsid w:val="006C3E39"/>
    <w:rsid w:val="006D50C2"/>
    <w:rsid w:val="006D56DC"/>
    <w:rsid w:val="006E11AD"/>
    <w:rsid w:val="006E17B3"/>
    <w:rsid w:val="006E3B7C"/>
    <w:rsid w:val="006E5119"/>
    <w:rsid w:val="006E5DB8"/>
    <w:rsid w:val="006E71C4"/>
    <w:rsid w:val="006E7274"/>
    <w:rsid w:val="006F23F4"/>
    <w:rsid w:val="006F5774"/>
    <w:rsid w:val="00703FFE"/>
    <w:rsid w:val="00713553"/>
    <w:rsid w:val="007317E1"/>
    <w:rsid w:val="00731EE1"/>
    <w:rsid w:val="007404A7"/>
    <w:rsid w:val="00744CF9"/>
    <w:rsid w:val="007501F6"/>
    <w:rsid w:val="00753CBE"/>
    <w:rsid w:val="00760100"/>
    <w:rsid w:val="007640D6"/>
    <w:rsid w:val="007659EE"/>
    <w:rsid w:val="00765B0B"/>
    <w:rsid w:val="00770AF4"/>
    <w:rsid w:val="0077264B"/>
    <w:rsid w:val="00775FD6"/>
    <w:rsid w:val="007762CB"/>
    <w:rsid w:val="00781723"/>
    <w:rsid w:val="00782838"/>
    <w:rsid w:val="00790C24"/>
    <w:rsid w:val="00791BCA"/>
    <w:rsid w:val="0079390F"/>
    <w:rsid w:val="007941C4"/>
    <w:rsid w:val="00794E4F"/>
    <w:rsid w:val="00797959"/>
    <w:rsid w:val="007A104E"/>
    <w:rsid w:val="007A3381"/>
    <w:rsid w:val="007A47E4"/>
    <w:rsid w:val="007A7F34"/>
    <w:rsid w:val="007B4129"/>
    <w:rsid w:val="007B67D1"/>
    <w:rsid w:val="007C1E3C"/>
    <w:rsid w:val="007C4276"/>
    <w:rsid w:val="007C7D3B"/>
    <w:rsid w:val="007D4E89"/>
    <w:rsid w:val="007E0068"/>
    <w:rsid w:val="007E2072"/>
    <w:rsid w:val="007E49AF"/>
    <w:rsid w:val="00800D2D"/>
    <w:rsid w:val="0080276B"/>
    <w:rsid w:val="008057A0"/>
    <w:rsid w:val="00806794"/>
    <w:rsid w:val="0082076A"/>
    <w:rsid w:val="00821284"/>
    <w:rsid w:val="0082194E"/>
    <w:rsid w:val="00832967"/>
    <w:rsid w:val="008421F1"/>
    <w:rsid w:val="008434BD"/>
    <w:rsid w:val="008547BF"/>
    <w:rsid w:val="008553E7"/>
    <w:rsid w:val="00861BE8"/>
    <w:rsid w:val="00862D2E"/>
    <w:rsid w:val="008645B9"/>
    <w:rsid w:val="00864D3B"/>
    <w:rsid w:val="00872DAF"/>
    <w:rsid w:val="00872F2C"/>
    <w:rsid w:val="00882624"/>
    <w:rsid w:val="00885682"/>
    <w:rsid w:val="00891CEB"/>
    <w:rsid w:val="008A07D9"/>
    <w:rsid w:val="008A51A3"/>
    <w:rsid w:val="008A76E6"/>
    <w:rsid w:val="008B2960"/>
    <w:rsid w:val="008B2FA6"/>
    <w:rsid w:val="008B302B"/>
    <w:rsid w:val="008B4A78"/>
    <w:rsid w:val="008B52B1"/>
    <w:rsid w:val="008C0671"/>
    <w:rsid w:val="008E035C"/>
    <w:rsid w:val="008F2208"/>
    <w:rsid w:val="008F77D6"/>
    <w:rsid w:val="00902B2B"/>
    <w:rsid w:val="00905D0A"/>
    <w:rsid w:val="0091269C"/>
    <w:rsid w:val="00917AAC"/>
    <w:rsid w:val="00917F7A"/>
    <w:rsid w:val="00923100"/>
    <w:rsid w:val="009253B5"/>
    <w:rsid w:val="00932755"/>
    <w:rsid w:val="00933C39"/>
    <w:rsid w:val="00944D73"/>
    <w:rsid w:val="00945298"/>
    <w:rsid w:val="00951B6F"/>
    <w:rsid w:val="00952323"/>
    <w:rsid w:val="00952594"/>
    <w:rsid w:val="009557B7"/>
    <w:rsid w:val="0096100D"/>
    <w:rsid w:val="00963504"/>
    <w:rsid w:val="0096627F"/>
    <w:rsid w:val="009702AA"/>
    <w:rsid w:val="00974B89"/>
    <w:rsid w:val="009779B5"/>
    <w:rsid w:val="0098546B"/>
    <w:rsid w:val="0098559D"/>
    <w:rsid w:val="00985F04"/>
    <w:rsid w:val="00987B8F"/>
    <w:rsid w:val="00990151"/>
    <w:rsid w:val="0099486E"/>
    <w:rsid w:val="009A1FC6"/>
    <w:rsid w:val="009B5280"/>
    <w:rsid w:val="009B637F"/>
    <w:rsid w:val="009C1F02"/>
    <w:rsid w:val="009C2DFD"/>
    <w:rsid w:val="009D04F7"/>
    <w:rsid w:val="009E2F72"/>
    <w:rsid w:val="009E7F96"/>
    <w:rsid w:val="009F22CF"/>
    <w:rsid w:val="009F2F2F"/>
    <w:rsid w:val="009F33AD"/>
    <w:rsid w:val="009F5742"/>
    <w:rsid w:val="009F6350"/>
    <w:rsid w:val="009F63F7"/>
    <w:rsid w:val="009F68A5"/>
    <w:rsid w:val="00A020CF"/>
    <w:rsid w:val="00A066FC"/>
    <w:rsid w:val="00A076C5"/>
    <w:rsid w:val="00A12834"/>
    <w:rsid w:val="00A12D8F"/>
    <w:rsid w:val="00A14C33"/>
    <w:rsid w:val="00A15443"/>
    <w:rsid w:val="00A212C7"/>
    <w:rsid w:val="00A232E5"/>
    <w:rsid w:val="00A23369"/>
    <w:rsid w:val="00A25E2A"/>
    <w:rsid w:val="00A26D21"/>
    <w:rsid w:val="00A3055E"/>
    <w:rsid w:val="00A33D80"/>
    <w:rsid w:val="00A41B66"/>
    <w:rsid w:val="00A41DA8"/>
    <w:rsid w:val="00A420B6"/>
    <w:rsid w:val="00A42D68"/>
    <w:rsid w:val="00A430C8"/>
    <w:rsid w:val="00A43CCF"/>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B5973"/>
    <w:rsid w:val="00AC2551"/>
    <w:rsid w:val="00AC52FA"/>
    <w:rsid w:val="00AC5F70"/>
    <w:rsid w:val="00AC6D5F"/>
    <w:rsid w:val="00AC703D"/>
    <w:rsid w:val="00AD3587"/>
    <w:rsid w:val="00AD5D88"/>
    <w:rsid w:val="00AE16B6"/>
    <w:rsid w:val="00AE1D0F"/>
    <w:rsid w:val="00AF434D"/>
    <w:rsid w:val="00AF70F9"/>
    <w:rsid w:val="00B01A4A"/>
    <w:rsid w:val="00B0252F"/>
    <w:rsid w:val="00B16BC0"/>
    <w:rsid w:val="00B224A5"/>
    <w:rsid w:val="00B27A72"/>
    <w:rsid w:val="00B30CEF"/>
    <w:rsid w:val="00B373B1"/>
    <w:rsid w:val="00B45DF8"/>
    <w:rsid w:val="00B52E5E"/>
    <w:rsid w:val="00B53B86"/>
    <w:rsid w:val="00B54939"/>
    <w:rsid w:val="00B56BC4"/>
    <w:rsid w:val="00B61630"/>
    <w:rsid w:val="00B621E8"/>
    <w:rsid w:val="00B62F89"/>
    <w:rsid w:val="00B64362"/>
    <w:rsid w:val="00B66E56"/>
    <w:rsid w:val="00B72CDB"/>
    <w:rsid w:val="00B75D65"/>
    <w:rsid w:val="00B823F7"/>
    <w:rsid w:val="00B83AAD"/>
    <w:rsid w:val="00B84ADF"/>
    <w:rsid w:val="00B968AC"/>
    <w:rsid w:val="00B97FA9"/>
    <w:rsid w:val="00BA3FD6"/>
    <w:rsid w:val="00BA65C5"/>
    <w:rsid w:val="00BA6F85"/>
    <w:rsid w:val="00BB17FF"/>
    <w:rsid w:val="00BB37FC"/>
    <w:rsid w:val="00BC1098"/>
    <w:rsid w:val="00BD0631"/>
    <w:rsid w:val="00BD3A84"/>
    <w:rsid w:val="00BD60D2"/>
    <w:rsid w:val="00BD77F2"/>
    <w:rsid w:val="00BE115A"/>
    <w:rsid w:val="00BE2175"/>
    <w:rsid w:val="00BE3E8A"/>
    <w:rsid w:val="00BF7931"/>
    <w:rsid w:val="00C004E8"/>
    <w:rsid w:val="00C151AE"/>
    <w:rsid w:val="00C20AB7"/>
    <w:rsid w:val="00C21B3D"/>
    <w:rsid w:val="00C23CA4"/>
    <w:rsid w:val="00C24845"/>
    <w:rsid w:val="00C31DB4"/>
    <w:rsid w:val="00C32D54"/>
    <w:rsid w:val="00C35E70"/>
    <w:rsid w:val="00C37216"/>
    <w:rsid w:val="00C41C25"/>
    <w:rsid w:val="00C47D6D"/>
    <w:rsid w:val="00C54C5C"/>
    <w:rsid w:val="00C570F3"/>
    <w:rsid w:val="00C609C6"/>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A5CB5"/>
    <w:rsid w:val="00CB04CF"/>
    <w:rsid w:val="00CB7228"/>
    <w:rsid w:val="00CC2842"/>
    <w:rsid w:val="00CD1E34"/>
    <w:rsid w:val="00CD2E07"/>
    <w:rsid w:val="00CE1646"/>
    <w:rsid w:val="00CE29F9"/>
    <w:rsid w:val="00CF151F"/>
    <w:rsid w:val="00CF1593"/>
    <w:rsid w:val="00CF1AA8"/>
    <w:rsid w:val="00CF30D8"/>
    <w:rsid w:val="00CF4C24"/>
    <w:rsid w:val="00CF5555"/>
    <w:rsid w:val="00CF666F"/>
    <w:rsid w:val="00D00DF2"/>
    <w:rsid w:val="00D01733"/>
    <w:rsid w:val="00D1716C"/>
    <w:rsid w:val="00D21078"/>
    <w:rsid w:val="00D35CA7"/>
    <w:rsid w:val="00D371FD"/>
    <w:rsid w:val="00D40E2F"/>
    <w:rsid w:val="00D45057"/>
    <w:rsid w:val="00D50853"/>
    <w:rsid w:val="00D6342C"/>
    <w:rsid w:val="00D67F0E"/>
    <w:rsid w:val="00D7796F"/>
    <w:rsid w:val="00D811FA"/>
    <w:rsid w:val="00D84767"/>
    <w:rsid w:val="00D96D92"/>
    <w:rsid w:val="00DA4B25"/>
    <w:rsid w:val="00DA7D68"/>
    <w:rsid w:val="00DB1BC9"/>
    <w:rsid w:val="00DB7795"/>
    <w:rsid w:val="00DC06BA"/>
    <w:rsid w:val="00DC15D3"/>
    <w:rsid w:val="00DD50AC"/>
    <w:rsid w:val="00DD7E82"/>
    <w:rsid w:val="00DE619B"/>
    <w:rsid w:val="00DF03A3"/>
    <w:rsid w:val="00DF17B9"/>
    <w:rsid w:val="00DF3AFB"/>
    <w:rsid w:val="00DF74DA"/>
    <w:rsid w:val="00E01043"/>
    <w:rsid w:val="00E01F21"/>
    <w:rsid w:val="00E042FC"/>
    <w:rsid w:val="00E11ACC"/>
    <w:rsid w:val="00E1353E"/>
    <w:rsid w:val="00E16800"/>
    <w:rsid w:val="00E2289C"/>
    <w:rsid w:val="00E24EDF"/>
    <w:rsid w:val="00E255CE"/>
    <w:rsid w:val="00E278E6"/>
    <w:rsid w:val="00E27C15"/>
    <w:rsid w:val="00E42770"/>
    <w:rsid w:val="00E50B37"/>
    <w:rsid w:val="00E54367"/>
    <w:rsid w:val="00E552EA"/>
    <w:rsid w:val="00E65D7A"/>
    <w:rsid w:val="00E678F9"/>
    <w:rsid w:val="00E7029B"/>
    <w:rsid w:val="00E708B2"/>
    <w:rsid w:val="00E71651"/>
    <w:rsid w:val="00E87BA6"/>
    <w:rsid w:val="00E92EDD"/>
    <w:rsid w:val="00E93AC3"/>
    <w:rsid w:val="00E957F9"/>
    <w:rsid w:val="00E9583E"/>
    <w:rsid w:val="00E97586"/>
    <w:rsid w:val="00EA2823"/>
    <w:rsid w:val="00EA2933"/>
    <w:rsid w:val="00EA41FF"/>
    <w:rsid w:val="00EB3026"/>
    <w:rsid w:val="00EC00D1"/>
    <w:rsid w:val="00EC41A4"/>
    <w:rsid w:val="00EC5ED9"/>
    <w:rsid w:val="00EC741D"/>
    <w:rsid w:val="00ED5B2A"/>
    <w:rsid w:val="00EE3385"/>
    <w:rsid w:val="00EE5D9E"/>
    <w:rsid w:val="00EF0CC8"/>
    <w:rsid w:val="00EF2000"/>
    <w:rsid w:val="00EF5797"/>
    <w:rsid w:val="00EF65B8"/>
    <w:rsid w:val="00EF79E3"/>
    <w:rsid w:val="00F03045"/>
    <w:rsid w:val="00F043A4"/>
    <w:rsid w:val="00F05503"/>
    <w:rsid w:val="00F060DB"/>
    <w:rsid w:val="00F122EA"/>
    <w:rsid w:val="00F15AF9"/>
    <w:rsid w:val="00F30C26"/>
    <w:rsid w:val="00F36EB9"/>
    <w:rsid w:val="00F3728A"/>
    <w:rsid w:val="00F51616"/>
    <w:rsid w:val="00F52ED3"/>
    <w:rsid w:val="00F57BF0"/>
    <w:rsid w:val="00F6192F"/>
    <w:rsid w:val="00F65852"/>
    <w:rsid w:val="00F7439F"/>
    <w:rsid w:val="00F758EA"/>
    <w:rsid w:val="00F77C26"/>
    <w:rsid w:val="00F84803"/>
    <w:rsid w:val="00F84F14"/>
    <w:rsid w:val="00F902F4"/>
    <w:rsid w:val="00F91507"/>
    <w:rsid w:val="00F965D0"/>
    <w:rsid w:val="00F9764B"/>
    <w:rsid w:val="00FA4149"/>
    <w:rsid w:val="00FA45C6"/>
    <w:rsid w:val="00FA49D5"/>
    <w:rsid w:val="00FA661A"/>
    <w:rsid w:val="00FB2553"/>
    <w:rsid w:val="00FB51A5"/>
    <w:rsid w:val="00FB72CD"/>
    <w:rsid w:val="00FC5220"/>
    <w:rsid w:val="00FC6EB2"/>
    <w:rsid w:val="00FC6F5C"/>
    <w:rsid w:val="00FD17F1"/>
    <w:rsid w:val="00FD2258"/>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BDFE-007D-4289-910F-6BC3030F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4034</Words>
  <Characters>22189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2015-10-20T17:25:00Z</cp:lastPrinted>
  <dcterms:created xsi:type="dcterms:W3CDTF">2018-01-26T17:15:00Z</dcterms:created>
  <dcterms:modified xsi:type="dcterms:W3CDTF">2018-01-26T17:15:00Z</dcterms:modified>
</cp:coreProperties>
</file>